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Westpac Banking Corporation (WBC.XASX)</w:t>
      </w:r>
    </w:p>
    <w:p>
      <w:r>
        <w:rPr>
          <w:i/>
          <w:sz w:val="18"/>
        </w:rPr>
        <w:t>Deep Dive — Results Items Impacting · Generated 2026-04-15 · Source tool: non_us</w:t>
      </w:r>
    </w:p>
    <w:p>
      <w:pPr>
        <w:pStyle w:val="Heading1"/>
      </w:pPr>
      <w:r>
        <w:t>Hypothesis</w:t>
      </w:r>
    </w:p>
    <w:p>
      <w:r>
        <w:t>Westpac Banking Corporation (WBC.XASX) flagged for a results items impacting signal on 2026-04-13 (scanner score 30.0, tc n/a, $101170M USD mcap). Working direction is short; the thesis is contingent on deep-dive verification of magnitude, timing and counterparty. Default playbook is to scope position to liquidity and confirm the catalyst is not already priced in.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2026-04-13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2026-04-13</w:t>
            </w:r>
          </w:p>
        </w:tc>
        <w:tc>
          <w:tcPr>
            <w:tcW w:type="dxa" w:w="3312"/>
          </w:tcPr>
          <w:p>
            <w:r>
              <w:t>Primary catalyst</w:t>
            </w:r>
          </w:p>
        </w:tc>
        <w:tc>
          <w:tcPr>
            <w:tcW w:type="dxa" w:w="3312"/>
          </w:tcPr>
          <w:p>
            <w:r>
              <w:t>decision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AU000000WBC1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BBG000D0JD87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BBG000D0JD23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101170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ASX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AU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30.0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n/a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short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results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2026-04-13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2026-04-13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Westpac Banking Corporation (WBC.XASX) — "Items Impacting Half Year 2026 Results" pre-announcement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On 2026-04-13 (22:01 UTC) Westpac released a price-sensitive ASX announcement titled "Items Impacting Half Year 2026 Results" under the PERIODIC REPORTS category (documentKey `2924-03078284-2A1666269`). In Australian bank practice, a standalone "items impacting" release ahead of a half-year result is near-universally a pre-announcement of one-off charges — typically restructuring, software/intangibles impairment, customer-remediation provisions, or legal/regulatory settlements — that management wants to disclose before the formal 1H26 result. Scanner classifies as `results_items_impacting`, strength=5, thesis_direction=short, price-sensitive flag set. Score 30 puts this in the immediate-route bucket. The deep-dive must determine (a) the magnitude of the charge, (b) whether it is cash vs. non-cash, (c) whether consensus has already embedded it, and (d) whether it signals a repeat pattern across the Big Four.</w:t>
      </w:r>
    </w:p>
    <w:p/>
    <w:p>
      <w:pPr>
        <w:pStyle w:val="Heading2"/>
      </w:pPr>
      <w:r>
        <w:t>Source signal</w:t>
      </w:r>
    </w:p>
    <w:p/>
    <w:p>
      <w:pPr>
        <w:pStyle w:val="ListBullet"/>
      </w:pPr>
      <w:r>
        <w:t>**Signal** — ASX announcement `2924-03078284-2A1666269` — 2026-04-13 22:01:01 UTC — ASX/markitdigital — headline "Items Impacting Half Year 2026 Results"; isPriceSensitive=true; PDF 522KB; [inferred] matches the well-known "Items Impacting Results" convention Westpac used in 2018, 2019, 2020, and 2024 to pre-announce one-off charges before the half-year release.</w:t>
      </w:r>
    </w:p>
    <w:p>
      <w:pPr>
        <w:pStyle w:val="ListBullet"/>
      </w:pPr>
      <w:r>
        <w:t>The markitdigital API does not expose the PDF URL; operator will need to pull the PDF directly from the ASX Market Announcements page at https://www.asx.com.au/markets/company/WBC once the deep-dive starts.</w:t>
      </w:r>
    </w:p>
    <w:p/>
    <w:p>
      <w:pPr>
        <w:pStyle w:val="Heading2"/>
      </w:pPr>
      <w:r>
        <w:t>Translation notes</w:t>
      </w:r>
    </w:p>
    <w:p/>
    <w:p>
      <w:r>
        <w:t>English source, translation_confidence = n/a. No interpretive risk on the scanner side.</w:t>
      </w:r>
    </w:p>
    <w:p/>
    <w:p>
      <w:pPr>
        <w:pStyle w:val="Heading2"/>
      </w:pPr>
      <w:r>
        <w:t>Company context (to be completed by deep-dive)</w:t>
      </w:r>
    </w:p>
    <w:p/>
    <w:p>
      <w:pPr>
        <w:pStyle w:val="ListBullet"/>
      </w:pPr>
      <w:r>
        <w:t>Market cap: $101.2B USD (AUD ~$142B at 0.7138). One of Australia's "Big Four" banks.</w:t>
      </w:r>
    </w:p>
    <w:p>
      <w:pPr>
        <w:pStyle w:val="ListBullet"/>
      </w:pPr>
      <w:r>
        <w:t>Sector: Banks (GICS).</w:t>
      </w:r>
    </w:p>
    <w:p>
      <w:pPr>
        <w:pStyle w:val="ListBullet"/>
      </w:pPr>
      <w:r>
        <w:t>Listing: ASX primary; also trades on NZX under WBC.NZ (secondary). Not ADR-listed in the US.</w:t>
      </w:r>
    </w:p>
    <w:p>
      <w:pPr>
        <w:pStyle w:val="ListBullet"/>
      </w:pPr>
      <w:r>
        <w:t>Half-year reporting cadence: Westpac's fiscal year ends 30 September. 1H runs Oct–Mar, result usually released early May. An April pre-announcement is consistent with that cadence — this is roughly 2–3 weeks before the scheduled result.</w:t>
      </w:r>
    </w:p>
    <w:p>
      <w:pPr>
        <w:pStyle w:val="ListBullet"/>
      </w:pPr>
      <w:r>
        <w:t>Trading status: N (normal) — no trading halt observed as of the scan.</w:t>
      </w:r>
    </w:p>
    <w:p>
      <w:pPr>
        <w:pStyle w:val="ListBullet"/>
      </w:pPr>
      <w:r>
        <w:t>30/90-day price: TODO. Pull from yfinance `WBC.AX` close history.</w:t>
      </w:r>
    </w:p>
    <w:p>
      <w:pPr>
        <w:pStyle w:val="ListBullet"/>
      </w:pPr>
      <w:r>
        <w:t>Recent news: TODO — check Reuters, AFR, SMH for any foreshadowing (analyst notes, APRA actions, ASIC proceedings) in the 30 days before 2026-04-13.</w:t>
      </w:r>
    </w:p>
    <w:p>
      <w:pPr>
        <w:pStyle w:val="ListBullet"/>
      </w:pPr>
      <w:r>
        <w:t>Holders: TODO. WBC is heavily held by Australian super funds (AustralianSuper, Aware, AusSuper); major offshore holders typically include Vanguard, BlackRock.</w:t>
      </w:r>
    </w:p>
    <w:p/>
    <w:p>
      <w:pPr>
        <w:pStyle w:val="Heading2"/>
      </w:pPr>
      <w:r>
        <w:t>Thesis statement (to be completed by deep-dive)</w:t>
      </w:r>
    </w:p>
    <w:p/>
    <w:p>
      <w:r>
        <w:t>**Pending.** Direction pre-tagged `short` based on pre-announcement pattern.</w:t>
      </w:r>
    </w:p>
    <w:p/>
    <w:p>
      <w:r>
        <w:t>Deep-dive must:</w:t>
      </w:r>
    </w:p>
    <w:p>
      <w:pPr>
        <w:pStyle w:val="ListBullet"/>
      </w:pPr>
      <w:r>
        <w:t>Read the PDF to extract:</w:t>
      </w:r>
    </w:p>
    <w:p>
      <w:r>
        <w:t xml:space="preserve">  - Total pre-tax charge (AUD)</w:t>
      </w:r>
    </w:p>
    <w:p>
      <w:r>
        <w:t xml:space="preserve">  - Cash vs. non-cash split</w:t>
      </w:r>
    </w:p>
    <w:p>
      <w:r>
        <w:t xml:space="preserve">  - Specific line-items (restructuring, customer remediation, software impairment, hedge ineffectiveness, notable items)</w:t>
      </w:r>
    </w:p>
    <w:p>
      <w:r>
        <w:t xml:space="preserve">  - Whether management is reaffirming or revising the prior guidance for cash earnings / ROE / CET1</w:t>
      </w:r>
    </w:p>
    <w:p>
      <w:r>
        <w:t xml:space="preserve">  - Any change to the dividend outlook</w:t>
      </w:r>
    </w:p>
    <w:p>
      <w:pPr>
        <w:pStyle w:val="ListBullet"/>
      </w:pPr>
      <w:r>
        <w:t>Size the charge vs.:</w:t>
      </w:r>
    </w:p>
    <w:p>
      <w:r>
        <w:t xml:space="preserve">  - Consensus 1H26 cash earnings (typically ~$3.5B AUD range pre-items — confirm)</w:t>
      </w:r>
    </w:p>
    <w:p>
      <w:r>
        <w:t xml:space="preserve">  - Westpac's CET1 ratio (any &lt;10 bp impact vs. &gt;30 bp impact changes the story materially)</w:t>
      </w:r>
    </w:p>
    <w:p>
      <w:r>
        <w:t xml:space="preserve">  - Historical "items impacting" magnitudes: 2020 notable items were ~$1.2B; 2018 AUSTRAC penalty was ~$1.3B</w:t>
      </w:r>
    </w:p>
    <w:p>
      <w:pPr>
        <w:pStyle w:val="ListBullet"/>
      </w:pPr>
      <w:r>
        <w:t>Cross-check whether the other Big Four (CBA, NAB, ANZ) have made similar pre-announcements in the same window — if so, this is a sector-wide regulatory/accounting story (e.g. APRA-driven provisioning change) and the short is less differentiated.</w:t>
      </w:r>
    </w:p>
    <w:p>
      <w:pPr>
        <w:pStyle w:val="ListBullet"/>
      </w:pPr>
      <w:r>
        <w:t>Decide on instrument:</w:t>
      </w:r>
    </w:p>
    <w:p>
      <w:r>
        <w:t xml:space="preserve">  - **Straight short WBC** — cleanest expression, but Big Four shorts are heavily regulated/squeezed</w:t>
      </w:r>
    </w:p>
    <w:p>
      <w:r>
        <w:t xml:space="preserve">  - **Pair short WBC vs. long CBA** — if the charge is WBC-specific (idiosyncratic)</w:t>
      </w:r>
    </w:p>
    <w:p>
      <w:r>
        <w:t xml:space="preserve">  - **Buy put spreads on WBC into the 1H26 result** — if options are liquid enough (ASX-listed WBC options are reasonably liquid out to 3-month tenor)</w:t>
      </w:r>
    </w:p>
    <w:p/>
    <w:p>
      <w:pPr>
        <w:pStyle w:val="Heading2"/>
      </w:pPr>
      <w:r>
        <w:t>Steelman of the opposite view</w:t>
      </w:r>
    </w:p>
    <w:p/>
    <w:p>
      <w:pPr>
        <w:pStyle w:val="ListBullet"/>
      </w:pPr>
      <w:r>
        <w:t>**Kitchen-sink / new-CEO reset**: If the charge coincides with a CEO transition, the market often treats pre-announcements as clearing the decks and rewards the stock on the ex-items number. Check if Anthony Miller (CEO since Dec 2024) is using this as his first major half to reset the baseline — if yes, *long* is plausible.</w:t>
      </w:r>
    </w:p>
    <w:p>
      <w:pPr>
        <w:pStyle w:val="ListBullet"/>
      </w:pPr>
      <w:r>
        <w:t>**Already-priced**: "Items impacting" is a known Westpac convention and analysts often model some provision buffer; a small charge (&lt;$200M AUD) may be a non-event or even a relief rally if it's lower than whisper numbers.</w:t>
      </w:r>
    </w:p>
    <w:p>
      <w:pPr>
        <w:pStyle w:val="ListBullet"/>
      </w:pPr>
      <w:r>
        <w:t>**Non-cash software impairment**: If the charge is entirely non-cash (e.g. writing down a failed tech platform), CET1 and dividend capacity are unaffected; short may work for 24–48 hours then fade.</w:t>
      </w:r>
    </w:p>
    <w:p>
      <w:pPr>
        <w:pStyle w:val="ListBullet"/>
      </w:pPr>
      <w:r>
        <w:t>**Peer read-through positive**: If the charge is specific to WBC (e.g. a one-off legal settlement) and not a systemic provisioning change, CBA/NAB/ANZ can outperform — this could compress the WBC short into a *relative* trade rather than absolute.</w:t>
      </w:r>
    </w:p>
    <w:p>
      <w:pPr>
        <w:pStyle w:val="ListBullet"/>
      </w:pPr>
      <w:r>
        <w:t>**Buyback/capital-management offset**: Westpac has been running a ~$1B buyback. Management sometimes pairs "items impacting" with a capital-management reaffirmation, neutralizing the signal. PDF read required.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AFR / The Australian / Reuters coverage of the 2026-04-13 announcement (next trading day = 2026-04-14 AEST)</w:t>
      </w:r>
    </w:p>
    <w:p>
      <w:pPr>
        <w:pStyle w:val="ListBullet"/>
      </w:pPr>
      <w:r>
        <w:t>Macquarie, MS, UBS, Jefferies, Citi Westpac 1H26 preview notes from April 2026</w:t>
      </w:r>
    </w:p>
    <w:p>
      <w:pPr>
        <w:pStyle w:val="ListBullet"/>
      </w:pPr>
      <w:r>
        <w:t>APRA's Q1 2026 ADI Performance Statistics — look for sector-wide provisioning trends</w:t>
      </w:r>
    </w:p>
    <w:p>
      <w:pPr>
        <w:pStyle w:val="ListBullet"/>
      </w:pPr>
      <w:r>
        <w:t>ASIC enforceable undertakings against WBC in 2025–2026</w:t>
      </w:r>
    </w:p>
    <w:p>
      <w:pPr>
        <w:pStyle w:val="ListBullet"/>
      </w:pPr>
      <w:r>
        <w:t>Comparison to WBC's 2024 1H "items impacting" release (if present in signal_log) — magnitude and stock reaction</w:t>
      </w:r>
    </w:p>
    <w:p>
      <w:pPr>
        <w:pStyle w:val="ListBullet"/>
      </w:pPr>
      <w:r>
        <w:t>Peer pre-announcements by CBA (Sep-Dec cycle), NAB (Mar/Sep cycle), ANZ (Mar/Sep cycle) in April 2026</w:t>
      </w:r>
    </w:p>
    <w:p>
      <w:pPr>
        <w:pStyle w:val="ListBullet"/>
      </w:pPr>
      <w:r>
        <w:t>Westpac options chain on ASX: Apr/May/Jun expiries, ATM IV and skew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Total pre-tax charge &lt; $300M AUD AND cash-earnings guidance reaffirmed AND dividend outlook unchanged. Signal is immaterial; discard.</w:t>
      </w:r>
    </w:p>
    <w:p>
      <w:pPr>
        <w:pStyle w:val="ListBullet"/>
      </w:pPr>
      <w:r>
        <w:t>**Kill 2:** The charge is fully non-cash AND Westpac simultaneously announces an incremental buyback or on-market capital return. Asymmetry flips; close short.</w:t>
      </w:r>
    </w:p>
    <w:p>
      <w:pPr>
        <w:pStyle w:val="ListBullet"/>
      </w:pPr>
      <w:r>
        <w:t>**Kill 3:** Peer Big Four banks make similar pre-announcements in the same 5-day window. Signal is a sector provisioning reset, not idiosyncratic — covered by existing bank-sector exposure; no alpha.</w:t>
      </w:r>
    </w:p>
    <w:p>
      <w:pPr>
        <w:pStyle w:val="ListBullet"/>
      </w:pPr>
      <w:r>
        <w:t>**Kill 4:** WBC share price gaps down &gt;5% on the open 2026-04-14 AEST. Short entry no longer attractive; re-evaluate as a post-reaction reversal candidate, not a pre-result short.</w:t>
      </w:r>
    </w:p>
    <w:p>
      <w:pPr>
        <w:pStyle w:val="ListBullet"/>
      </w:pPr>
      <w:r>
        <w:t>**Kill 5:** PDF reveals a one-off *positive* item (e.g. insurance recovery, hedge gain). Flip thesis to long and size via put-writing.</w:t>
      </w:r>
    </w:p>
    <w:p/>
    <w:p>
      <w:pPr>
        <w:pStyle w:val="Heading2"/>
      </w:pPr>
      <w:r>
        <w:t>Catalyst map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Pre-announcement ("items impacting") | 2026-04-13 (done) | — | — |</w:t>
      </w:r>
    </w:p>
    <w:p>
      <w:r>
        <w:t>| Next-day trading reaction (ASX) | 2026-04-14 AEST | Open ≤ flat → short | Gap &gt;5% → abort |</w:t>
      </w:r>
    </w:p>
    <w:p>
      <w:r>
        <w:t>| Broker note cascade | 2026-04-14 / 2026-04-15 | Multi-broker downgrade → add | Multi-broker upgrade → trim |</w:t>
      </w:r>
    </w:p>
    <w:p>
      <w:r>
        <w:t>| 1H26 Result release | Early May 2026 (expected) | — | Deliver vs. post-items cons → exit |</w:t>
      </w:r>
    </w:p>
    <w:p>
      <w:r>
        <w:t>| 1H26 dividend declaration | With result | — | Reaffirmed at prior run-rate → cover short |</w:t>
      </w:r>
    </w:p>
    <w:p>
      <w:r>
        <w:t>| Investor briefing / call Q&amp;A | With result | — | Management walk-forward of "items" magnitude → cover |</w:t>
      </w:r>
    </w:p>
    <w:p/>
    <w:p>
      <w:pPr>
        <w:pStyle w:val="Heading2"/>
      </w:pPr>
      <w:r>
        <w:t>Position sizing</w:t>
      </w:r>
    </w:p>
    <w:p/>
    <w:p>
      <w:r>
        <w:t>Satellite (2–4%). Big Four banks are heavily shorted by offshore funds; borrow is generally available but can be expensive into earnings. Confirm short-rebate rate and HIN-level borrow availability before sizing. ADV on WBC is typically ~$250M AUD/day, so liquidity is not a constraint at sub-$100M portfolio sizes. Options expression (put spread) is preferred if 1M-3M IV is &lt;22% — cheaper than carrying short borrow.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ASX announcement `2924-03078284-2A1666269` retrieved 2026-04-14 via `tools/asx_scanner.py` from `asx.api.markitdigital.com/asx-research/1.0/companies/WBC/announcements`</w:t>
      </w:r>
    </w:p>
    <w:p>
      <w:pPr>
        <w:pStyle w:val="ListBullet"/>
      </w:pPr>
      <w:r>
        <w:t>OpenFIGI: ticker=WBC mic=XASX → figi=BBG000D0JD87, issuer_figi=BBG000D0JD23 (cached 2026-04-14)</w:t>
      </w:r>
    </w:p>
    <w:p>
      <w:pPr>
        <w:pStyle w:val="ListBullet"/>
      </w:pPr>
      <w:r>
        <w:t>Market cap: $101.17B USD — from `working/asx_universe.json` (as_of 2026-04-14T16:08:27Z; yfinance WBC.AX Ticker.info × AUDUSD=X 0.7138)</w:t>
      </w:r>
    </w:p>
    <w:p>
      <w:pPr>
        <w:pStyle w:val="ListBullet"/>
      </w:pPr>
      <w:r>
        <w:t>Scanner pattern matched: `\bitems impacting\b` (in `ASX_TITLE_RULES` → signal_type=`results_items_impacting`)</w:t>
      </w:r>
    </w:p>
    <w:p>
      <w:pPr>
        <w:pStyle w:val="ListBullet"/>
      </w:pPr>
      <w:r>
        <w:t>ASX headline: "Items Impacting Half Year 2026 Results"</w:t>
      </w:r>
    </w:p>
    <w:p>
      <w:pPr>
        <w:pStyle w:val="ListBullet"/>
      </w:pPr>
      <w:r>
        <w:t>Announcement type (ASX): "PERIODIC REPORTS"</w:t>
      </w:r>
    </w:p>
    <w:p>
      <w:pPr>
        <w:pStyle w:val="ListBullet"/>
      </w:pPr>
      <w:r>
        <w:t>File: 522 KB PDF (not fetched — URL not exposed by markitdigital API; operator must pull from ASX Market Announcements page at time of deep-dive)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