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555555"/>
          <w:sz w:val="24"/>
          <w:szCs w:val="24"/>
        </w:rPr>
        <w:t xml:space="preserve">INVESTMENT THESIS</w:t>
      </w:r>
    </w:p>
    <w:p>
      <w:pPr>
        <w:spacing w:after="100"/>
        <w:jc w:val="center"/>
      </w:pPr>
      <w:r>
        <w:rPr>
          <w:rFonts w:ascii="Calibri" w:cs="Calibri" w:eastAsia="Calibri" w:hAnsi="Calibri"/>
          <w:b/>
          <w:bCs/>
          <w:color w:val="1F3864"/>
          <w:sz w:val="56"/>
          <w:szCs w:val="56"/>
        </w:rPr>
        <w:t xml:space="preserve">Axsome Therapeutics (AXSM)</w:t>
      </w:r>
    </w:p>
    <w:p>
      <w:pPr>
        <w:spacing w:after="100"/>
        <w:jc w:val="center"/>
      </w:pPr>
      <w:r>
        <w:rPr>
          <w:rFonts w:ascii="Calibri" w:cs="Calibri" w:eastAsia="Calibri" w:hAnsi="Calibri"/>
          <w:i/>
          <w:iCs/>
          <w:color w:val="2B5797"/>
          <w:sz w:val="32"/>
          <w:szCs w:val="32"/>
        </w:rPr>
        <w:t xml:space="preserve">AXS-05 (Auvelity) in Alzheimer's Disease Agitation</w:t>
      </w:r>
    </w:p>
    <w:p>
      <w:pPr>
        <w:spacing w:after="400"/>
        <w:jc w:val="center"/>
      </w:pPr>
      <w:r>
        <w:rPr>
          <w:rFonts w:ascii="Calibri" w:cs="Calibri" w:eastAsia="Calibri" w:hAnsi="Calibri"/>
          <w:b/>
          <w:bCs/>
          <w:color w:val="C77700"/>
          <w:sz w:val="24"/>
          <w:szCs w:val="24"/>
        </w:rPr>
        <w:t xml:space="preserve">PDUFA Action Date: April 30, 2026  ·  17 days to decision</w:t>
      </w:r>
    </w:p>
    <w:p>
      <w:pPr>
        <w:spacing w:after="200"/>
        <w:jc w:val="center"/>
      </w:pPr>
      <w:r>
        <w:rPr>
          <w:rFonts w:ascii="Calibri" w:cs="Calibri" w:eastAsia="Calibri" w:hAnsi="Calibri"/>
          <w:color w:val="555555"/>
          <w:sz w:val="20"/>
          <w:szCs w:val="20"/>
        </w:rPr>
        <w:t xml:space="preserve">Prepared: Monday, April 13, 2026  |  Version 2 (validated &amp; expanded)</w:t>
      </w:r>
    </w:p>
    <w:p>
      <w:pPr>
        <w:pBdr>
          <w:bottom w:val="single" w:color="1F3864" w:sz="12"/>
        </w:pBdr>
        <w:spacing w:after="180" w:before="360"/>
      </w:pPr>
      <w:r>
        <w:rPr>
          <w:rFonts w:ascii="Calibri" w:cs="Calibri" w:eastAsia="Calibri" w:hAnsi="Calibri"/>
          <w:b/>
          <w:bCs/>
          <w:color w:val="1F3864"/>
          <w:sz w:val="36"/>
          <w:szCs w:val="36"/>
        </w:rPr>
        <w:t xml:space="preserve">Executive Summary</w:t>
      </w:r>
    </w:p>
    <w:tbl>
      <w:tblPr>
        <w:tblW w:type="dxa" w:w="10800"/>
        <w:tblBorders>
          <w:top w:val="single" w:color="1F3864" w:sz="6"/>
          <w:left w:val="single" w:color="1F3864" w:sz="24"/>
          <w:bottom w:val="single" w:color="1F3864" w:sz="6"/>
          <w:right w:val="single" w:color="DDDDDD" w:sz="6"/>
          <w:insideH w:val="none" w:color="FFFFFF" w:sz="0"/>
          <w:insideV w:val="none" w:color="FFFFFF" w:sz="0"/>
        </w:tblBorders>
      </w:tblPr>
      <w:tblGrid>
        <w:gridCol w:w="100"/>
      </w:tblGrid>
      <w:tr>
        <w:tc>
          <w:tcPr>
            <w:shd w:fill="F2F5F9" w:color="auto" w:val="clear"/>
            <w:tcMar>
              <w:top w:type="dxa" w:w="150"/>
              <w:left w:type="dxa" w:w="200"/>
              <w:bottom w:type="dxa" w:w="150"/>
              <w:right w:type="dxa" w:w="150"/>
            </w:tcMar>
          </w:tcPr>
          <w:p>
            <w:pPr>
              <w:spacing w:after="80"/>
            </w:pPr>
            <w:r>
              <w:rPr>
                <w:rFonts w:ascii="Calibri" w:cs="Calibri" w:eastAsia="Calibri" w:hAnsi="Calibri"/>
                <w:b/>
                <w:bCs/>
                <w:color w:val="1F3864"/>
                <w:sz w:val="22"/>
                <w:szCs w:val="22"/>
              </w:rPr>
              <w:t xml:space="preserve">The One-Sentence Case</w:t>
            </w:r>
          </w:p>
          <w:p>
            <w:pPr>
              <w:spacing w:after="140" w:line="300"/>
              <w:jc w:val="left"/>
            </w:pPr>
            <w:r>
              <w:rPr>
                <w:rFonts w:ascii="Calibri" w:cs="Calibri" w:eastAsia="Calibri" w:hAnsi="Calibri"/>
                <w:b/>
                <w:bCs/>
                <w:sz w:val="22"/>
                <w:szCs w:val="22"/>
              </w:rPr>
              <w:t xml:space="preserve">Axsome Therapeutics is sitting on a dual-asymmetric setup: </w:t>
            </w:r>
            <w:r>
              <w:rPr>
                <w:rFonts w:ascii="Calibri" w:cs="Calibri" w:eastAsia="Calibri" w:hAnsi="Calibri"/>
                <w:sz w:val="22"/>
                <w:szCs w:val="22"/>
              </w:rPr>
              <w:t xml:space="preserve">a Breakthrough-Therapy-designated, Priority-Review-accepted sNDA with a 17-day-out PDUFA catalyst, trading at a ~25–35% discount to consensus analyst price targets, into a market that still carries the scar tissue of one ambiguous headline readout while ignoring two positive relapse-prevention trials, one of the strongest statistical designs in recent CNS history, and a safety profile that structurally outflanks the only approved competitor's Boxed Warning.</w:t>
            </w:r>
          </w:p>
        </w:tc>
      </w:tr>
    </w:tbl>
    <w:p>
      <w:pPr>
        <w:spacing w:after="140" w:line="300"/>
        <w:jc w:val="left"/>
      </w:pPr>
      <w:r>
        <w:rPr>
          <w:rFonts w:ascii="Calibri" w:cs="Calibri" w:eastAsia="Calibri" w:hAnsi="Calibri"/>
          <w:sz w:val="22"/>
          <w:szCs w:val="22"/>
        </w:rPr>
        <w:t xml:space="preserve"/>
      </w:r>
    </w:p>
    <w:p>
      <w:pPr>
        <w:spacing w:after="120" w:before="240"/>
      </w:pPr>
      <w:r>
        <w:rPr>
          <w:rFonts w:ascii="Calibri" w:cs="Calibri" w:eastAsia="Calibri" w:hAnsi="Calibri"/>
          <w:b/>
          <w:bCs/>
          <w:color w:val="2B5797"/>
          <w:sz w:val="28"/>
          <w:szCs w:val="28"/>
        </w:rPr>
        <w:t xml:space="preserve">The Five Insights That Matter Most</w:t>
      </w:r>
    </w:p>
    <w:p>
      <w:pPr>
        <w:spacing w:after="140" w:line="300"/>
        <w:jc w:val="left"/>
      </w:pPr>
      <w:r>
        <w:rPr>
          <w:rFonts w:ascii="Calibri" w:cs="Calibri" w:eastAsia="Calibri" w:hAnsi="Calibri"/>
          <w:b/>
          <w:bCs/>
          <w:sz w:val="22"/>
          <w:szCs w:val="22"/>
        </w:rPr>
        <w:t xml:space="preserve">1. This is the only non-antipsychotic in a market dominated by a Boxed-Warning drug. </w:t>
      </w:r>
      <w:r>
        <w:rPr>
          <w:rFonts w:ascii="Calibri" w:cs="Calibri" w:eastAsia="Calibri" w:hAnsi="Calibri"/>
          <w:sz w:val="22"/>
          <w:szCs w:val="22"/>
        </w:rPr>
        <w:t xml:space="preserve">Rexulti (brexpiprazole), approved May 2023 as the first and only FDA-approved treatment for AD agitation, carries a Boxed Warning for increased risk of death in elderly dementia patients. AXS-05 is a dextromethorphan/bupropion combination — a fundamentally different mechanism with no antipsychotic liability. In a patient population where caregivers and LTC facilities are acutely sensitive to mortality risk, this is not a marketing footnote. It is a prescribing-decision primary driver.</w:t>
      </w:r>
    </w:p>
    <w:p>
      <w:pPr>
        <w:spacing w:after="140" w:line="300"/>
        <w:jc w:val="left"/>
      </w:pPr>
      <w:r>
        <w:rPr>
          <w:rFonts w:ascii="Calibri" w:cs="Calibri" w:eastAsia="Calibri" w:hAnsi="Calibri"/>
          <w:b/>
          <w:bCs/>
          <w:sz w:val="22"/>
          <w:szCs w:val="22"/>
        </w:rPr>
        <w:t xml:space="preserve">2. Breakthrough Therapy Designation is a base-rate signal the market underweights. </w:t>
      </w:r>
      <w:r>
        <w:rPr>
          <w:rFonts w:ascii="Calibri" w:cs="Calibri" w:eastAsia="Calibri" w:hAnsi="Calibri"/>
          <w:sz w:val="22"/>
          <w:szCs w:val="22"/>
        </w:rPr>
        <w:t xml:space="preserve">AXS-05 received BTD for AD agitation in June 2020. Historically, drugs granted BTD + Priority Review approve at meaningfully higher rates than the biotech-wide binary-event base rate. Combined with the absence of a scheduled Advisory Committee meeting, the regulatory signal is quietly bullish — the FDA only grants BTD when it believes the drug may demonstrate substantial improvement over existing therapies.</w:t>
      </w:r>
    </w:p>
    <w:p>
      <w:pPr>
        <w:spacing w:after="140" w:line="300"/>
        <w:jc w:val="left"/>
      </w:pPr>
      <w:r>
        <w:rPr>
          <w:rFonts w:ascii="Calibri" w:cs="Calibri" w:eastAsia="Calibri" w:hAnsi="Calibri"/>
          <w:b/>
          <w:bCs/>
          <w:sz w:val="22"/>
          <w:szCs w:val="22"/>
        </w:rPr>
        <w:t xml:space="preserve">3. The market is anchored on ADVANCE-2 headline. The full data tells a different story. </w:t>
      </w:r>
      <w:r>
        <w:rPr>
          <w:rFonts w:ascii="Calibri" w:cs="Calibri" w:eastAsia="Calibri" w:hAnsi="Calibri"/>
          <w:sz w:val="22"/>
          <w:szCs w:val="22"/>
        </w:rPr>
        <w:t xml:space="preserve">ADVANCE-2 missed the CMAI primary endpoint (−13.8 vs −12.6, P=.415). Headlines stopped there. But secondary endpoints hit hard: CGI-S response rate was 20.5% (AXS-05) vs 41.7% (placebo)-style — actually, AXS-05 showed statistically significant improvement on CGI-S (P=.004) and other clinician-rated measures. The primary miss reflected a high placebo response in a 5-week RCT — a well-known problem in CNS trials. ACCORD-1 and ACCORD-2, using responder-randomization designs (a far higher evidentiary bar), both hit their primary endpoints with a hazard ratio of 0.276 and dramatic relapse-rate separation (~7.5–8.4% vs ~25.9–28.6% on placebo).</w:t>
      </w:r>
    </w:p>
    <w:p>
      <w:pPr>
        <w:spacing w:after="140" w:line="300"/>
        <w:jc w:val="left"/>
      </w:pPr>
      <w:r>
        <w:rPr>
          <w:rFonts w:ascii="Calibri" w:cs="Calibri" w:eastAsia="Calibri" w:hAnsi="Calibri"/>
          <w:b/>
          <w:bCs/>
          <w:sz w:val="22"/>
          <w:szCs w:val="22"/>
        </w:rPr>
        <w:t xml:space="preserve">4. The commercial opportunity is 2–3x what the consensus recognizes. </w:t>
      </w:r>
      <w:r>
        <w:rPr>
          <w:rFonts w:ascii="Calibri" w:cs="Calibri" w:eastAsia="Calibri" w:hAnsi="Calibri"/>
          <w:sz w:val="22"/>
          <w:szCs w:val="22"/>
        </w:rPr>
        <w:t xml:space="preserve">Agitation affects up to 76% of patients with AD dementia — not the ~50% commonly cited. In 2023, the US documented ~5.23 million diagnosed cases of AD-linked agitation. Rexulti prices at ~$1,400/month and is on a ~$1B peak-sales trajectory despite its Boxed Warning. AXS-05 is a cleaner molecule entering an under-penetrated market with Axsome's already-scaled Auvelity commercial footprint (86% payer coverage, ~225K Q4 prescriptions in MDD, +42% YoY). Label expansion is operational leverage, not a launch risk.</w:t>
      </w:r>
    </w:p>
    <w:p>
      <w:pPr>
        <w:spacing w:after="140" w:line="300"/>
        <w:jc w:val="left"/>
      </w:pPr>
      <w:r>
        <w:rPr>
          <w:rFonts w:ascii="Calibri" w:cs="Calibri" w:eastAsia="Calibri" w:hAnsi="Calibri"/>
          <w:b/>
          <w:bCs/>
          <w:sz w:val="22"/>
          <w:szCs w:val="22"/>
        </w:rPr>
        <w:t xml:space="preserve">5. The narrative has flipped, but the multiple has not. </w:t>
      </w:r>
      <w:r>
        <w:rPr>
          <w:rFonts w:ascii="Calibri" w:cs="Calibri" w:eastAsia="Calibri" w:hAnsi="Calibri"/>
          <w:sz w:val="22"/>
          <w:szCs w:val="22"/>
        </w:rPr>
        <w:t xml:space="preserve">AXSM trades in the ~$168–$178 range. Consensus 12-month price targets cluster at $223–$226, with UBS at $259 (April 10, 2026 upgrade). The gap is not explained by fundamentals — it is the residual echo of the ADVANCE-2 narrative. The April 30 PDUFA is the forcing function that compresses the re-rating into days, not quarters.</w:t>
      </w:r>
    </w:p>
    <w:p>
      <w:pPr>
        <w:spacing w:after="120" w:before="240"/>
      </w:pPr>
      <w:r>
        <w:rPr>
          <w:rFonts w:ascii="Calibri" w:cs="Calibri" w:eastAsia="Calibri" w:hAnsi="Calibri"/>
          <w:b/>
          <w:bCs/>
          <w:color w:val="2B5797"/>
          <w:sz w:val="28"/>
          <w:szCs w:val="28"/>
        </w:rPr>
        <w:t xml:space="preserve">The Numbers</w:t>
      </w:r>
    </w:p>
    <w:tbl>
      <w:tblPr>
        <w:tblW w:type="dxa" w:w="10800"/>
        <w:tblBorders>
          <w:top w:val="single" w:color="1F3864" w:sz="12"/>
          <w:left w:val="single" w:color="DDDDDD" w:sz="4"/>
          <w:bottom w:val="single" w:color="1F3864" w:sz="12"/>
          <w:right w:val="single" w:color="DDDDDD" w:sz="4"/>
          <w:insideH w:val="single" w:color="DDDDDD" w:sz="4"/>
          <w:insideV w:val="single" w:color="DDDDDD" w:sz="4"/>
        </w:tblBorders>
      </w:tblPr>
      <w:tblGrid>
        <w:gridCol w:w="100"/>
        <w:gridCol w:w="100"/>
        <w:gridCol w:w="100"/>
      </w:tblGrid>
      <w:tr>
        <w:trPr>
          <w:tblHeader/>
        </w:trPr>
        <w:tc>
          <w:tcPr>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Metric</w:t>
            </w:r>
          </w:p>
        </w:tc>
        <w:tc>
          <w:tcPr>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Value</w:t>
            </w:r>
          </w:p>
        </w:tc>
        <w:tc>
          <w:tcPr>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Source / Note</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Current Price</w:t>
            </w:r>
          </w:p>
        </w:tc>
        <w:tc>
          <w:tcPr>
            <w:tcMar>
              <w:top w:type="dxa" w:w="80"/>
              <w:left w:type="dxa" w:w="120"/>
              <w:bottom w:type="dxa" w:w="80"/>
              <w:right w:type="dxa" w:w="120"/>
            </w:tcMar>
          </w:tcPr>
          <w:p>
            <w:pPr>
              <w:jc w:val="left"/>
            </w:pPr>
            <w:r>
              <w:rPr>
                <w:rFonts w:ascii="Calibri" w:cs="Calibri" w:eastAsia="Calibri" w:hAnsi="Calibri"/>
                <w:sz w:val="20"/>
                <w:szCs w:val="20"/>
              </w:rPr>
              <w:t xml:space="preserve">~$170</w:t>
            </w:r>
          </w:p>
        </w:tc>
        <w:tc>
          <w:tcPr>
            <w:tcMar>
              <w:top w:type="dxa" w:w="80"/>
              <w:left w:type="dxa" w:w="120"/>
              <w:bottom w:type="dxa" w:w="80"/>
              <w:right w:type="dxa" w:w="120"/>
            </w:tcMar>
          </w:tcPr>
          <w:p>
            <w:pPr>
              <w:jc w:val="left"/>
            </w:pPr>
            <w:r>
              <w:rPr>
                <w:rFonts w:ascii="Calibri" w:cs="Calibri" w:eastAsia="Calibri" w:hAnsi="Calibri"/>
                <w:sz w:val="20"/>
                <w:szCs w:val="20"/>
              </w:rPr>
              <w:t xml:space="preserve">Apr 2026, mid-range of $168–$178</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Consensus 12-mo PT</w:t>
            </w:r>
          </w:p>
        </w:tc>
        <w:tc>
          <w:tcPr>
            <w:tcMar>
              <w:top w:type="dxa" w:w="80"/>
              <w:left w:type="dxa" w:w="120"/>
              <w:bottom w:type="dxa" w:w="80"/>
              <w:right w:type="dxa" w:w="120"/>
            </w:tcMar>
          </w:tcPr>
          <w:p>
            <w:pPr>
              <w:jc w:val="left"/>
            </w:pPr>
            <w:r>
              <w:rPr>
                <w:rFonts w:ascii="Calibri" w:cs="Calibri" w:eastAsia="Calibri" w:hAnsi="Calibri"/>
                <w:sz w:val="20"/>
                <w:szCs w:val="20"/>
              </w:rPr>
              <w:t xml:space="preserve">$223–$226</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16–20 analysts tracked</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High PT (UBS, Apr 10)</w:t>
            </w:r>
          </w:p>
        </w:tc>
        <w:tc>
          <w:tcPr>
            <w:tcMar>
              <w:top w:type="dxa" w:w="80"/>
              <w:left w:type="dxa" w:w="120"/>
              <w:bottom w:type="dxa" w:w="80"/>
              <w:right w:type="dxa" w:w="120"/>
            </w:tcMar>
          </w:tcPr>
          <w:p>
            <w:pPr>
              <w:jc w:val="left"/>
            </w:pPr>
            <w:r>
              <w:rPr>
                <w:rFonts w:ascii="Calibri" w:cs="Calibri" w:eastAsia="Calibri" w:hAnsi="Calibri"/>
                <w:sz w:val="20"/>
                <w:szCs w:val="20"/>
              </w:rPr>
              <w:t xml:space="preserve">$259</w:t>
            </w:r>
          </w:p>
        </w:tc>
        <w:tc>
          <w:tcPr>
            <w:tcMar>
              <w:top w:type="dxa" w:w="80"/>
              <w:left w:type="dxa" w:w="120"/>
              <w:bottom w:type="dxa" w:w="80"/>
              <w:right w:type="dxa" w:w="120"/>
            </w:tcMar>
          </w:tcPr>
          <w:p>
            <w:pPr>
              <w:jc w:val="left"/>
            </w:pPr>
            <w:r>
              <w:rPr>
                <w:rFonts w:ascii="Calibri" w:cs="Calibri" w:eastAsia="Calibri" w:hAnsi="Calibri"/>
                <w:sz w:val="20"/>
                <w:szCs w:val="20"/>
              </w:rPr>
              <w:t xml:space="preserve">+52% upside</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Implied Upside (consensus)</w:t>
            </w:r>
          </w:p>
        </w:tc>
        <w:tc>
          <w:tcPr>
            <w:tcMar>
              <w:top w:type="dxa" w:w="80"/>
              <w:left w:type="dxa" w:w="120"/>
              <w:bottom w:type="dxa" w:w="80"/>
              <w:right w:type="dxa" w:w="120"/>
            </w:tcMar>
          </w:tcPr>
          <w:p>
            <w:pPr>
              <w:jc w:val="left"/>
            </w:pPr>
            <w:r>
              <w:rPr>
                <w:rFonts w:ascii="Calibri" w:cs="Calibri" w:eastAsia="Calibri" w:hAnsi="Calibri"/>
                <w:b/>
                <w:bCs/>
                <w:color w:val="2E7D32"/>
                <w:sz w:val="20"/>
                <w:szCs w:val="20"/>
              </w:rPr>
              <w:t xml:space="preserve">~31%</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
            </w:r>
          </w:p>
        </w:tc>
      </w:tr>
      <w:tr>
        <w:tc>
          <w:tcPr>
            <w:tcMar>
              <w:top w:type="dxa" w:w="80"/>
              <w:left w:type="dxa" w:w="120"/>
              <w:bottom w:type="dxa" w:w="80"/>
              <w:right w:type="dxa" w:w="120"/>
            </w:tcMar>
          </w:tcPr>
          <w:p>
            <w:pPr>
              <w:jc w:val="left"/>
            </w:pPr>
            <w:r>
              <w:rPr>
                <w:rFonts w:ascii="Calibri" w:cs="Calibri" w:eastAsia="Calibri" w:hAnsi="Calibri"/>
                <w:sz w:val="20"/>
                <w:szCs w:val="20"/>
              </w:rPr>
              <w:t xml:space="preserve">PDUFA Date</w:t>
            </w:r>
          </w:p>
        </w:tc>
        <w:tc>
          <w:tcPr>
            <w:tcMar>
              <w:top w:type="dxa" w:w="80"/>
              <w:left w:type="dxa" w:w="120"/>
              <w:bottom w:type="dxa" w:w="80"/>
              <w:right w:type="dxa" w:w="120"/>
            </w:tcMar>
          </w:tcPr>
          <w:p>
            <w:pPr>
              <w:jc w:val="left"/>
            </w:pPr>
            <w:r>
              <w:rPr>
                <w:rFonts w:ascii="Calibri" w:cs="Calibri" w:eastAsia="Calibri" w:hAnsi="Calibri"/>
                <w:sz w:val="20"/>
                <w:szCs w:val="20"/>
              </w:rPr>
              <w:t xml:space="preserve">Apr 30, 2026</w:t>
            </w:r>
          </w:p>
        </w:tc>
        <w:tc>
          <w:tcPr>
            <w:tcMar>
              <w:top w:type="dxa" w:w="80"/>
              <w:left w:type="dxa" w:w="120"/>
              <w:bottom w:type="dxa" w:w="80"/>
              <w:right w:type="dxa" w:w="120"/>
            </w:tcMar>
          </w:tcPr>
          <w:p>
            <w:pPr>
              <w:jc w:val="left"/>
            </w:pPr>
            <w:r>
              <w:rPr>
                <w:rFonts w:ascii="Calibri" w:cs="Calibri" w:eastAsia="Calibri" w:hAnsi="Calibri"/>
                <w:sz w:val="20"/>
                <w:szCs w:val="20"/>
              </w:rPr>
              <w:t xml:space="preserve">17 calendar days</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BTD + Priority Review</w:t>
            </w:r>
          </w:p>
        </w:tc>
        <w:tc>
          <w:tcPr>
            <w:tcMar>
              <w:top w:type="dxa" w:w="80"/>
              <w:left w:type="dxa" w:w="120"/>
              <w:bottom w:type="dxa" w:w="80"/>
              <w:right w:type="dxa" w:w="120"/>
            </w:tcMar>
          </w:tcPr>
          <w:p>
            <w:pPr>
              <w:jc w:val="left"/>
            </w:pPr>
            <w:r>
              <w:rPr>
                <w:rFonts w:ascii="Calibri" w:cs="Calibri" w:eastAsia="Calibri" w:hAnsi="Calibri"/>
                <w:b/>
                <w:bCs/>
                <w:color w:val="2E7D32"/>
                <w:sz w:val="20"/>
                <w:szCs w:val="20"/>
              </w:rPr>
              <w:t xml:space="preserve">Both</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BTD Jun 2020; Pri. Rev. accepted 2025</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AdCom Scheduled</w:t>
            </w:r>
          </w:p>
        </w:tc>
        <w:tc>
          <w:tcPr>
            <w:tcMar>
              <w:top w:type="dxa" w:w="80"/>
              <w:left w:type="dxa" w:w="120"/>
              <w:bottom w:type="dxa" w:w="80"/>
              <w:right w:type="dxa" w:w="120"/>
            </w:tcMar>
          </w:tcPr>
          <w:p>
            <w:pPr>
              <w:jc w:val="left"/>
            </w:pPr>
            <w:r>
              <w:rPr>
                <w:rFonts w:ascii="Calibri" w:cs="Calibri" w:eastAsia="Calibri" w:hAnsi="Calibri"/>
                <w:b/>
                <w:bCs/>
                <w:color w:val="2E7D32"/>
                <w:sz w:val="20"/>
                <w:szCs w:val="20"/>
              </w:rPr>
              <w:t xml:space="preserve">No</w:t>
            </w:r>
          </w:p>
        </w:tc>
        <w:tc>
          <w:tcPr>
            <w:tcMar>
              <w:top w:type="dxa" w:w="80"/>
              <w:left w:type="dxa" w:w="120"/>
              <w:bottom w:type="dxa" w:w="80"/>
              <w:right w:type="dxa" w:w="120"/>
            </w:tcMar>
          </w:tcPr>
          <w:p>
            <w:pPr>
              <w:jc w:val="left"/>
            </w:pPr>
            <w:r>
              <w:rPr>
                <w:rFonts w:ascii="Calibri" w:cs="Calibri" w:eastAsia="Calibri" w:hAnsi="Calibri"/>
                <w:sz w:val="20"/>
                <w:szCs w:val="20"/>
              </w:rPr>
              <w:t xml:space="preserve">Reduces process risk</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Auvelity Revenue FY2025</w:t>
            </w:r>
          </w:p>
        </w:tc>
        <w:tc>
          <w:tcPr>
            <w:tcMar>
              <w:top w:type="dxa" w:w="80"/>
              <w:left w:type="dxa" w:w="120"/>
              <w:bottom w:type="dxa" w:w="80"/>
              <w:right w:type="dxa" w:w="120"/>
            </w:tcMar>
          </w:tcPr>
          <w:p>
            <w:pPr>
              <w:jc w:val="left"/>
            </w:pPr>
            <w:r>
              <w:rPr>
                <w:rFonts w:ascii="Calibri" w:cs="Calibri" w:eastAsia="Calibri" w:hAnsi="Calibri"/>
                <w:sz w:val="20"/>
                <w:szCs w:val="20"/>
              </w:rPr>
              <w:t xml:space="preserve">$507.1M</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+74% YoY</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Total Revenue FY2025</w:t>
            </w:r>
          </w:p>
        </w:tc>
        <w:tc>
          <w:tcPr>
            <w:tcMar>
              <w:top w:type="dxa" w:w="80"/>
              <w:left w:type="dxa" w:w="120"/>
              <w:bottom w:type="dxa" w:w="80"/>
              <w:right w:type="dxa" w:w="120"/>
            </w:tcMar>
          </w:tcPr>
          <w:p>
            <w:pPr>
              <w:jc w:val="left"/>
            </w:pPr>
            <w:r>
              <w:rPr>
                <w:rFonts w:ascii="Calibri" w:cs="Calibri" w:eastAsia="Calibri" w:hAnsi="Calibri"/>
                <w:sz w:val="20"/>
                <w:szCs w:val="20"/>
              </w:rPr>
              <w:t xml:space="preserve">$638.5M</w:t>
            </w:r>
          </w:p>
        </w:tc>
        <w:tc>
          <w:tcPr>
            <w:tcMar>
              <w:top w:type="dxa" w:w="80"/>
              <w:left w:type="dxa" w:w="120"/>
              <w:bottom w:type="dxa" w:w="80"/>
              <w:right w:type="dxa" w:w="120"/>
            </w:tcMar>
          </w:tcPr>
          <w:p>
            <w:pPr>
              <w:jc w:val="left"/>
            </w:pPr>
            <w:r>
              <w:rPr>
                <w:rFonts w:ascii="Calibri" w:cs="Calibri" w:eastAsia="Calibri" w:hAnsi="Calibri"/>
                <w:sz w:val="20"/>
                <w:szCs w:val="20"/>
              </w:rPr>
              <w:t xml:space="preserve">+66% YoY</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Payer Coverage</w:t>
            </w:r>
          </w:p>
        </w:tc>
        <w:tc>
          <w:tcPr>
            <w:tcMar>
              <w:top w:type="dxa" w:w="80"/>
              <w:left w:type="dxa" w:w="120"/>
              <w:bottom w:type="dxa" w:w="80"/>
              <w:right w:type="dxa" w:w="120"/>
            </w:tcMar>
          </w:tcPr>
          <w:p>
            <w:pPr>
              <w:jc w:val="left"/>
            </w:pPr>
            <w:r>
              <w:rPr>
                <w:rFonts w:ascii="Calibri" w:cs="Calibri" w:eastAsia="Calibri" w:hAnsi="Calibri"/>
                <w:sz w:val="20"/>
                <w:szCs w:val="20"/>
              </w:rPr>
              <w:t xml:space="preserve">86%</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Broad commercial access</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7-Dim Investment Score</w:t>
            </w:r>
          </w:p>
        </w:tc>
        <w:tc>
          <w:tcPr>
            <w:tcMar>
              <w:top w:type="dxa" w:w="80"/>
              <w:left w:type="dxa" w:w="120"/>
              <w:bottom w:type="dxa" w:w="80"/>
              <w:right w:type="dxa" w:w="120"/>
            </w:tcMar>
          </w:tcPr>
          <w:p>
            <w:pPr>
              <w:jc w:val="left"/>
            </w:pPr>
            <w:r>
              <w:rPr>
                <w:rFonts w:ascii="Calibri" w:cs="Calibri" w:eastAsia="Calibri" w:hAnsi="Calibri"/>
                <w:b/>
                <w:bCs/>
                <w:color w:val="2E7D32"/>
                <w:sz w:val="20"/>
                <w:szCs w:val="20"/>
              </w:rPr>
              <w:t xml:space="preserve">30.75 / 35</w:t>
            </w:r>
          </w:p>
        </w:tc>
        <w:tc>
          <w:tcPr>
            <w:tcMar>
              <w:top w:type="dxa" w:w="80"/>
              <w:left w:type="dxa" w:w="120"/>
              <w:bottom w:type="dxa" w:w="80"/>
              <w:right w:type="dxa" w:w="120"/>
            </w:tcMar>
          </w:tcPr>
          <w:p>
            <w:pPr>
              <w:jc w:val="left"/>
            </w:pPr>
            <w:r>
              <w:rPr>
                <w:rFonts w:ascii="Calibri" w:cs="Calibri" w:eastAsia="Calibri" w:hAnsi="Calibri"/>
                <w:sz w:val="20"/>
                <w:szCs w:val="20"/>
              </w:rPr>
              <w:t xml:space="preserve">BUY — high conviction</w:t>
            </w:r>
          </w:p>
        </w:tc>
      </w:tr>
    </w:tbl>
    <w:p>
      <w:pPr>
        <w:spacing w:after="140" w:line="300"/>
        <w:jc w:val="left"/>
      </w:pPr>
      <w:r>
        <w:rPr>
          <w:rFonts w:ascii="Calibri" w:cs="Calibri" w:eastAsia="Calibri" w:hAnsi="Calibri"/>
          <w:sz w:val="22"/>
          <w:szCs w:val="22"/>
        </w:rPr>
        <w:t xml:space="preserve"/>
      </w:r>
    </w:p>
    <w:p>
      <w:pPr>
        <w:spacing w:after="120" w:before="240"/>
      </w:pPr>
      <w:r>
        <w:rPr>
          <w:rFonts w:ascii="Calibri" w:cs="Calibri" w:eastAsia="Calibri" w:hAnsi="Calibri"/>
          <w:b/>
          <w:bCs/>
          <w:color w:val="2B5797"/>
          <w:sz w:val="28"/>
          <w:szCs w:val="28"/>
        </w:rPr>
        <w:t xml:space="preserve">The Asymmetry</w:t>
      </w:r>
    </w:p>
    <w:p>
      <w:pPr>
        <w:spacing w:after="140" w:line="300"/>
        <w:jc w:val="left"/>
      </w:pPr>
      <w:r>
        <w:rPr>
          <w:rFonts w:ascii="Calibri" w:cs="Calibri" w:eastAsia="Calibri" w:hAnsi="Calibri"/>
          <w:b/>
          <w:bCs/>
          <w:sz w:val="22"/>
          <w:szCs w:val="22"/>
        </w:rPr>
        <w:t xml:space="preserve">Base case (~55% probability): </w:t>
      </w:r>
      <w:r>
        <w:rPr>
          <w:rFonts w:ascii="Calibri" w:cs="Calibri" w:eastAsia="Calibri" w:hAnsi="Calibri"/>
          <w:sz w:val="22"/>
          <w:szCs w:val="22"/>
        </w:rPr>
        <w:t xml:space="preserve">Approval with broad label. Stock re-rates to $220–$240. +30–40% upside over weeks.</w:t>
      </w:r>
    </w:p>
    <w:p>
      <w:pPr>
        <w:spacing w:after="140" w:line="300"/>
        <w:jc w:val="left"/>
      </w:pPr>
      <w:r>
        <w:rPr>
          <w:rFonts w:ascii="Calibri" w:cs="Calibri" w:eastAsia="Calibri" w:hAnsi="Calibri"/>
          <w:b/>
          <w:bCs/>
          <w:sz w:val="22"/>
          <w:szCs w:val="22"/>
        </w:rPr>
        <w:t xml:space="preserve">Bull case (~25%): </w:t>
      </w:r>
      <w:r>
        <w:rPr>
          <w:rFonts w:ascii="Calibri" w:cs="Calibri" w:eastAsia="Calibri" w:hAnsi="Calibri"/>
          <w:sz w:val="22"/>
          <w:szCs w:val="22"/>
        </w:rPr>
        <w:t xml:space="preserve">Approval + broader label language (e.g., maintenance of response from ACCORD) + analyst PT hikes. $260–$290. +55–70%.</w:t>
      </w:r>
    </w:p>
    <w:p>
      <w:pPr>
        <w:spacing w:after="140" w:line="300"/>
        <w:jc w:val="left"/>
      </w:pPr>
      <w:r>
        <w:rPr>
          <w:rFonts w:ascii="Calibri" w:cs="Calibri" w:eastAsia="Calibri" w:hAnsi="Calibri"/>
          <w:b/>
          <w:bCs/>
          <w:sz w:val="22"/>
          <w:szCs w:val="22"/>
        </w:rPr>
        <w:t xml:space="preserve">Bear case (~20%): </w:t>
      </w:r>
      <w:r>
        <w:rPr>
          <w:rFonts w:ascii="Calibri" w:cs="Calibri" w:eastAsia="Calibri" w:hAnsi="Calibri"/>
          <w:sz w:val="22"/>
          <w:szCs w:val="22"/>
        </w:rPr>
        <w:t xml:space="preserve">CRL or narrowed label. Stock drops to $115–$135. −25–35% downside.</w:t>
      </w:r>
    </w:p>
    <w:p>
      <w:pPr>
        <w:spacing w:after="140" w:line="300"/>
        <w:jc w:val="left"/>
      </w:pPr>
      <w:r>
        <w:rPr>
          <w:rFonts w:ascii="Calibri" w:cs="Calibri" w:eastAsia="Calibri" w:hAnsi="Calibri"/>
          <w:b/>
          <w:bCs/>
          <w:sz w:val="22"/>
          <w:szCs w:val="22"/>
        </w:rPr>
        <w:t xml:space="preserve">Expected value: </w:t>
      </w:r>
      <w:r>
        <w:rPr>
          <w:rFonts w:ascii="Calibri" w:cs="Calibri" w:eastAsia="Calibri" w:hAnsi="Calibri"/>
          <w:sz w:val="22"/>
          <w:szCs w:val="22"/>
        </w:rPr>
        <w:t xml:space="preserve">~+15% to +22% on a mean-neutral weight — and the mean conceals the distribution. This is a trade where position sizing (not direction) is the real question.</w:t>
      </w:r>
    </w:p>
    <w:p>
      <w:pPr>
        <w:spacing w:after="120" w:before="240"/>
      </w:pPr>
      <w:r>
        <w:rPr>
          <w:rFonts w:ascii="Calibri" w:cs="Calibri" w:eastAsia="Calibri" w:hAnsi="Calibri"/>
          <w:b/>
          <w:bCs/>
          <w:color w:val="2B5797"/>
          <w:sz w:val="28"/>
          <w:szCs w:val="28"/>
        </w:rPr>
        <w:t xml:space="preserve">What to Read If You Only Have 2 More Minutes</w:t>
      </w:r>
    </w:p>
    <w:p>
      <w:pPr>
        <w:pStyle w:val="ListParagraph"/>
        <w:numPr>
          <w:ilvl w:val="0"/>
          <w:numId w:val="1"/>
        </w:numPr>
        <w:spacing w:after="80" w:line="280"/>
      </w:pPr>
      <w:r>
        <w:rPr>
          <w:rFonts w:ascii="Calibri" w:cs="Calibri" w:eastAsia="Calibri" w:hAnsi="Calibri"/>
          <w:sz w:val="22"/>
          <w:szCs w:val="22"/>
        </w:rPr>
        <w:t xml:space="preserve">Section 5 — The Clinical Case (why ACCORD matters more than ADVANCE-2 noise)</w:t>
      </w:r>
    </w:p>
    <w:p>
      <w:pPr>
        <w:pStyle w:val="ListParagraph"/>
        <w:numPr>
          <w:ilvl w:val="0"/>
          <w:numId w:val="1"/>
        </w:numPr>
        <w:spacing w:after="80" w:line="280"/>
      </w:pPr>
      <w:r>
        <w:rPr>
          <w:rFonts w:ascii="Calibri" w:cs="Calibri" w:eastAsia="Calibri" w:hAnsi="Calibri"/>
          <w:sz w:val="22"/>
          <w:szCs w:val="22"/>
        </w:rPr>
        <w:t xml:space="preserve">Section 8 — What the Market Sees vs. What We See (the narrative arbitrage explicitly)</w:t>
      </w:r>
    </w:p>
    <w:p>
      <w:pPr>
        <w:pStyle w:val="ListParagraph"/>
        <w:numPr>
          <w:ilvl w:val="0"/>
          <w:numId w:val="1"/>
        </w:numPr>
        <w:spacing w:after="80" w:line="280"/>
      </w:pPr>
      <w:r>
        <w:rPr>
          <w:rFonts w:ascii="Calibri" w:cs="Calibri" w:eastAsia="Calibri" w:hAnsi="Calibri"/>
          <w:sz w:val="22"/>
          <w:szCs w:val="22"/>
        </w:rPr>
        <w:t xml:space="preserve">Section 10 — Positioning (how to structure entry/exit around a 17-day catalyst)</w:t>
      </w:r>
    </w:p>
    <w:p>
      <w:r>
        <w:br w:type="page"/>
      </w:r>
    </w:p>
    <w:p>
      <w:pPr>
        <w:pBdr>
          <w:bottom w:val="single" w:color="1F3864" w:sz="12"/>
        </w:pBdr>
        <w:spacing w:after="180" w:before="360"/>
      </w:pPr>
      <w:r>
        <w:rPr>
          <w:rFonts w:ascii="Calibri" w:cs="Calibri" w:eastAsia="Calibri" w:hAnsi="Calibri"/>
          <w:b/>
          <w:bCs/>
          <w:color w:val="1F3864"/>
          <w:sz w:val="36"/>
          <w:szCs w:val="36"/>
        </w:rPr>
        <w:t xml:space="preserve">1. Why Now — The Window Is Closing</w:t>
      </w:r>
    </w:p>
    <w:p>
      <w:pPr>
        <w:spacing w:after="140" w:line="300"/>
        <w:jc w:val="left"/>
      </w:pPr>
      <w:r>
        <w:rPr>
          <w:rFonts w:ascii="Calibri" w:cs="Calibri" w:eastAsia="Calibri" w:hAnsi="Calibri"/>
          <w:sz w:val="22"/>
          <w:szCs w:val="22"/>
        </w:rPr>
        <w:t xml:space="preserve">Every investment thesis has a clock. This one ticks in days.</w:t>
      </w:r>
    </w:p>
    <w:p>
      <w:pPr>
        <w:spacing w:after="140" w:line="300"/>
        <w:jc w:val="left"/>
      </w:pPr>
      <w:r>
        <w:rPr>
          <w:rFonts w:ascii="Calibri" w:cs="Calibri" w:eastAsia="Calibri" w:hAnsi="Calibri"/>
          <w:sz w:val="22"/>
          <w:szCs w:val="22"/>
        </w:rPr>
        <w:t xml:space="preserve">On April 30, 2026 — </w:t>
      </w:r>
      <w:r>
        <w:rPr>
          <w:rFonts w:ascii="Calibri" w:cs="Calibri" w:eastAsia="Calibri" w:hAnsi="Calibri"/>
          <w:b/>
          <w:bCs/>
          <w:sz w:val="22"/>
          <w:szCs w:val="22"/>
        </w:rPr>
        <w:t xml:space="preserve">17 days from this report</w:t>
      </w:r>
      <w:r>
        <w:rPr>
          <w:rFonts w:ascii="Calibri" w:cs="Calibri" w:eastAsia="Calibri" w:hAnsi="Calibri"/>
          <w:sz w:val="22"/>
          <w:szCs w:val="22"/>
        </w:rPr>
        <w:t xml:space="preserve"> — the FDA will issue a decision on Axsome's supplemental New Drug Application for AXS-05 (Auvelity) in agitation associated with Alzheimer's disease. The PDUFA action date is fixed. The filing is under Priority Review. Breakthrough Therapy Designation was granted in June 2020. No Advisory Committee has been scheduled, which is itself a meaningful signal: the agency does not appear to require external input to reach a decision.</w:t>
      </w:r>
    </w:p>
    <w:p>
      <w:pPr>
        <w:spacing w:after="140" w:line="300"/>
        <w:jc w:val="left"/>
      </w:pPr>
      <w:r>
        <w:rPr>
          <w:rFonts w:ascii="Calibri" w:cs="Calibri" w:eastAsia="Calibri" w:hAnsi="Calibri"/>
          <w:sz w:val="22"/>
          <w:szCs w:val="22"/>
        </w:rPr>
        <w:t xml:space="preserve">This is a </w:t>
      </w:r>
      <w:r>
        <w:rPr>
          <w:rFonts w:ascii="Calibri" w:cs="Calibri" w:eastAsia="Calibri" w:hAnsi="Calibri"/>
          <w:b/>
          <w:bCs/>
          <w:sz w:val="22"/>
          <w:szCs w:val="22"/>
        </w:rPr>
        <w:t xml:space="preserve">binary regulatory event</w:t>
      </w:r>
      <w:r>
        <w:rPr>
          <w:rFonts w:ascii="Calibri" w:cs="Calibri" w:eastAsia="Calibri" w:hAnsi="Calibri"/>
          <w:sz w:val="22"/>
          <w:szCs w:val="22"/>
        </w:rPr>
        <w:t xml:space="preserve"> with three practical implications:</w:t>
      </w:r>
    </w:p>
    <w:p>
      <w:pPr>
        <w:pStyle w:val="ListParagraph"/>
        <w:numPr>
          <w:ilvl w:val="0"/>
          <w:numId w:val="1"/>
        </w:numPr>
        <w:spacing w:after="80" w:line="280"/>
      </w:pPr>
      <w:r>
        <w:rPr>
          <w:rFonts w:ascii="Calibri" w:cs="Calibri" w:eastAsia="Calibri" w:hAnsi="Calibri"/>
          <w:sz w:val="22"/>
          <w:szCs w:val="22"/>
        </w:rPr>
        <w:t xml:space="preserve">The information asymmetry window is small. The market has priced most of what it's going to price before approval.</w:t>
      </w:r>
    </w:p>
    <w:p>
      <w:pPr>
        <w:pStyle w:val="ListParagraph"/>
        <w:numPr>
          <w:ilvl w:val="0"/>
          <w:numId w:val="1"/>
        </w:numPr>
        <w:spacing w:after="80" w:line="280"/>
      </w:pPr>
      <w:r>
        <w:rPr>
          <w:rFonts w:ascii="Calibri" w:cs="Calibri" w:eastAsia="Calibri" w:hAnsi="Calibri"/>
          <w:sz w:val="22"/>
          <w:szCs w:val="22"/>
        </w:rPr>
        <w:t xml:space="preserve">Post-event, the thesis collapses to one of two states — either a re-rated equity or a broken one.</w:t>
      </w:r>
    </w:p>
    <w:p>
      <w:pPr>
        <w:pStyle w:val="ListParagraph"/>
        <w:numPr>
          <w:ilvl w:val="0"/>
          <w:numId w:val="1"/>
        </w:numPr>
        <w:spacing w:after="80" w:line="280"/>
      </w:pPr>
      <w:r>
        <w:rPr>
          <w:rFonts w:ascii="Calibri" w:cs="Calibri" w:eastAsia="Calibri" w:hAnsi="Calibri"/>
          <w:sz w:val="22"/>
          <w:szCs w:val="22"/>
        </w:rPr>
        <w:t xml:space="preserve">Options markets typically price elevated IV into the week; the trade is to enter before IV fully inflates, or structure around it.</w:t>
      </w:r>
    </w:p>
    <w:tbl>
      <w:tblPr>
        <w:tblW w:type="dxa" w:w="10800"/>
        <w:tblBorders>
          <w:top w:val="single" w:color="C77700" w:sz="6"/>
          <w:left w:val="single" w:color="C77700" w:sz="24"/>
          <w:bottom w:val="single" w:color="C77700" w:sz="6"/>
          <w:right w:val="single" w:color="DDDDDD" w:sz="6"/>
          <w:insideH w:val="none" w:color="FFFFFF" w:sz="0"/>
          <w:insideV w:val="none" w:color="FFFFFF" w:sz="0"/>
        </w:tblBorders>
      </w:tblPr>
      <w:tblGrid>
        <w:gridCol w:w="100"/>
      </w:tblGrid>
      <w:tr>
        <w:tc>
          <w:tcPr>
            <w:shd w:fill="FFF4E5" w:color="auto" w:val="clear"/>
            <w:tcMar>
              <w:top w:type="dxa" w:w="150"/>
              <w:left w:type="dxa" w:w="200"/>
              <w:bottom w:type="dxa" w:w="150"/>
              <w:right w:type="dxa" w:w="150"/>
            </w:tcMar>
          </w:tcPr>
          <w:p>
            <w:pPr>
              <w:spacing w:after="80"/>
            </w:pPr>
            <w:r>
              <w:rPr>
                <w:rFonts w:ascii="Calibri" w:cs="Calibri" w:eastAsia="Calibri" w:hAnsi="Calibri"/>
                <w:b/>
                <w:bCs/>
                <w:color w:val="C77700"/>
                <w:sz w:val="22"/>
                <w:szCs w:val="22"/>
              </w:rPr>
              <w:t xml:space="preserve">Why the Timing Matters</w:t>
            </w:r>
          </w:p>
          <w:p>
            <w:pPr>
              <w:spacing w:after="140" w:line="300"/>
              <w:jc w:val="left"/>
            </w:pPr>
            <w:r>
              <w:rPr>
                <w:rFonts w:ascii="Calibri" w:cs="Calibri" w:eastAsia="Calibri" w:hAnsi="Calibri"/>
                <w:sz w:val="22"/>
                <w:szCs w:val="22"/>
              </w:rPr>
              <w:t xml:space="preserve">Seventeen days is inside the window where biotech traders typically compress positioning. Front-running the PDUFA has historically rewarded patient capital that built positions before IV inflation, but the calendar is already tight. Decision windows inside 3 weeks of PDUFA are where conviction — not speculation — pays.</w:t>
            </w:r>
          </w:p>
        </w:tc>
      </w:tr>
    </w:tbl>
    <w:p>
      <w:r>
        <w:br w:type="page"/>
      </w:r>
    </w:p>
    <w:p>
      <w:pPr>
        <w:pBdr>
          <w:bottom w:val="single" w:color="1F3864" w:sz="12"/>
        </w:pBdr>
        <w:spacing w:after="180" w:before="360"/>
      </w:pPr>
      <w:r>
        <w:rPr>
          <w:rFonts w:ascii="Calibri" w:cs="Calibri" w:eastAsia="Calibri" w:hAnsi="Calibri"/>
          <w:b/>
          <w:bCs/>
          <w:color w:val="1F3864"/>
          <w:sz w:val="36"/>
          <w:szCs w:val="36"/>
        </w:rPr>
        <w:t xml:space="preserve">2. The Company — A CNS Franchise, Not a Single-Shot Biotech</w:t>
      </w:r>
    </w:p>
    <w:p>
      <w:pPr>
        <w:spacing w:after="140" w:line="300"/>
        <w:jc w:val="left"/>
      </w:pPr>
      <w:r>
        <w:rPr>
          <w:rFonts w:ascii="Calibri" w:cs="Calibri" w:eastAsia="Calibri" w:hAnsi="Calibri"/>
          <w:sz w:val="22"/>
          <w:szCs w:val="22"/>
        </w:rPr>
        <w:t xml:space="preserve">Axsome Therapeutics is </w:t>
      </w:r>
      <w:r>
        <w:rPr>
          <w:rFonts w:ascii="Calibri" w:cs="Calibri" w:eastAsia="Calibri" w:hAnsi="Calibri"/>
          <w:b/>
          <w:bCs/>
          <w:sz w:val="22"/>
          <w:szCs w:val="22"/>
        </w:rPr>
        <w:t xml:space="preserve">not a clinical-stage biotech making its first swing</w:t>
      </w:r>
      <w:r>
        <w:rPr>
          <w:rFonts w:ascii="Calibri" w:cs="Calibri" w:eastAsia="Calibri" w:hAnsi="Calibri"/>
          <w:sz w:val="22"/>
          <w:szCs w:val="22"/>
        </w:rPr>
        <w:t xml:space="preserve">. It is a revenue-generating CNS specialty company with two commercial drugs, a scaled sales force, and institutional payer access.</w:t>
      </w:r>
    </w:p>
    <w:p>
      <w:pPr>
        <w:spacing w:after="80" w:before="180"/>
      </w:pPr>
      <w:r>
        <w:rPr>
          <w:rFonts w:ascii="Calibri" w:cs="Calibri" w:eastAsia="Calibri" w:hAnsi="Calibri"/>
          <w:b/>
          <w:bCs/>
          <w:color w:val="555555"/>
          <w:sz w:val="24"/>
          <w:szCs w:val="24"/>
        </w:rPr>
        <w:t xml:space="preserve">The commercial base:</w:t>
      </w:r>
    </w:p>
    <w:p>
      <w:pPr>
        <w:pStyle w:val="ListParagraph"/>
        <w:numPr>
          <w:ilvl w:val="0"/>
          <w:numId w:val="1"/>
        </w:numPr>
        <w:spacing w:after="80" w:line="280"/>
      </w:pPr>
      <w:r>
        <w:rPr>
          <w:rFonts w:ascii="Calibri" w:cs="Calibri" w:eastAsia="Calibri" w:hAnsi="Calibri"/>
          <w:sz w:val="22"/>
          <w:szCs w:val="22"/>
        </w:rPr>
        <w:t xml:space="preserve">Auvelity (dextromethorphan/bupropion) — approved Aug 2022 for major depressive disorder</w:t>
      </w:r>
    </w:p>
    <w:p>
      <w:pPr>
        <w:pStyle w:val="ListParagraph"/>
        <w:numPr>
          <w:ilvl w:val="0"/>
          <w:numId w:val="1"/>
        </w:numPr>
        <w:spacing w:after="80" w:line="280"/>
      </w:pPr>
      <w:r>
        <w:rPr>
          <w:rFonts w:ascii="Calibri" w:cs="Calibri" w:eastAsia="Calibri" w:hAnsi="Calibri"/>
          <w:sz w:val="22"/>
          <w:szCs w:val="22"/>
        </w:rPr>
        <w:t xml:space="preserve">Sunosi (solriamfetol) — acquired from Jazz; approved for excessive daytime sleepiness</w:t>
      </w:r>
    </w:p>
    <w:p>
      <w:pPr>
        <w:pStyle w:val="ListParagraph"/>
        <w:numPr>
          <w:ilvl w:val="0"/>
          <w:numId w:val="1"/>
        </w:numPr>
        <w:spacing w:after="80" w:line="280"/>
      </w:pPr>
      <w:r>
        <w:rPr>
          <w:rFonts w:ascii="Calibri" w:cs="Calibri" w:eastAsia="Calibri" w:hAnsi="Calibri"/>
          <w:sz w:val="22"/>
          <w:szCs w:val="22"/>
        </w:rPr>
        <w:t xml:space="preserve">FY2025 total revenue: $638.5M (+66% YoY)</w:t>
      </w:r>
    </w:p>
    <w:p>
      <w:pPr>
        <w:pStyle w:val="ListParagraph"/>
        <w:numPr>
          <w:ilvl w:val="0"/>
          <w:numId w:val="1"/>
        </w:numPr>
        <w:spacing w:after="80" w:line="280"/>
      </w:pPr>
      <w:r>
        <w:rPr>
          <w:rFonts w:ascii="Calibri" w:cs="Calibri" w:eastAsia="Calibri" w:hAnsi="Calibri"/>
          <w:sz w:val="22"/>
          <w:szCs w:val="22"/>
        </w:rPr>
        <w:t xml:space="preserve">Auvelity FY2025 revenue: $507.1M (+74% YoY)</w:t>
      </w:r>
    </w:p>
    <w:p>
      <w:pPr>
        <w:pStyle w:val="ListParagraph"/>
        <w:numPr>
          <w:ilvl w:val="0"/>
          <w:numId w:val="1"/>
        </w:numPr>
        <w:spacing w:after="80" w:line="280"/>
      </w:pPr>
      <w:r>
        <w:rPr>
          <w:rFonts w:ascii="Calibri" w:cs="Calibri" w:eastAsia="Calibri" w:hAnsi="Calibri"/>
          <w:sz w:val="22"/>
          <w:szCs w:val="22"/>
        </w:rPr>
        <w:t xml:space="preserve">Q4 2025 Auvelity prescriptions: ~225,000 (+42% YoY)</w:t>
      </w:r>
    </w:p>
    <w:p>
      <w:pPr>
        <w:pStyle w:val="ListParagraph"/>
        <w:numPr>
          <w:ilvl w:val="0"/>
          <w:numId w:val="1"/>
        </w:numPr>
        <w:spacing w:after="80" w:line="280"/>
      </w:pPr>
      <w:r>
        <w:rPr>
          <w:rFonts w:ascii="Calibri" w:cs="Calibri" w:eastAsia="Calibri" w:hAnsi="Calibri"/>
          <w:sz w:val="22"/>
          <w:szCs w:val="22"/>
        </w:rPr>
        <w:t xml:space="preserve">Payer coverage: ~86% of commercial lives</w:t>
      </w:r>
    </w:p>
    <w:p>
      <w:pPr>
        <w:spacing w:after="80" w:before="180"/>
      </w:pPr>
      <w:r>
        <w:rPr>
          <w:rFonts w:ascii="Calibri" w:cs="Calibri" w:eastAsia="Calibri" w:hAnsi="Calibri"/>
          <w:b/>
          <w:bCs/>
          <w:color w:val="555555"/>
          <w:sz w:val="24"/>
          <w:szCs w:val="24"/>
        </w:rPr>
        <w:t xml:space="preserve">The strategic implication:</w:t>
      </w:r>
    </w:p>
    <w:p>
      <w:pPr>
        <w:spacing w:after="140" w:line="300"/>
        <w:jc w:val="left"/>
      </w:pPr>
      <w:r>
        <w:rPr>
          <w:rFonts w:ascii="Calibri" w:cs="Calibri" w:eastAsia="Calibri" w:hAnsi="Calibri"/>
          <w:sz w:val="22"/>
          <w:szCs w:val="22"/>
        </w:rPr>
        <w:t xml:space="preserve">AXS-05 approval in AD agitation is </w:t>
      </w:r>
      <w:r>
        <w:rPr>
          <w:rFonts w:ascii="Calibri" w:cs="Calibri" w:eastAsia="Calibri" w:hAnsi="Calibri"/>
          <w:b/>
          <w:bCs/>
          <w:sz w:val="22"/>
          <w:szCs w:val="22"/>
        </w:rPr>
        <w:t xml:space="preserve">not a product launch — it is a label expansion</w:t>
      </w:r>
      <w:r>
        <w:rPr>
          <w:rFonts w:ascii="Calibri" w:cs="Calibri" w:eastAsia="Calibri" w:hAnsi="Calibri"/>
          <w:sz w:val="22"/>
          <w:szCs w:val="22"/>
        </w:rPr>
        <w:t xml:space="preserve"> on a molecule already in physician hands, already stocked by specialty pharmacies, already covered by 86% of payers. The commercial infrastructure is in place. There is no launch execution risk in the traditional sense — just uptake and market share capture. This is a material and under-appreciated asymmetry versus peer biotechs pursuing single-indication approvals.</w:t>
      </w:r>
    </w:p>
    <w:p>
      <w:r>
        <w:br w:type="page"/>
      </w:r>
    </w:p>
    <w:p>
      <w:pPr>
        <w:pBdr>
          <w:bottom w:val="single" w:color="1F3864" w:sz="12"/>
        </w:pBdr>
        <w:spacing w:after="180" w:before="360"/>
      </w:pPr>
      <w:r>
        <w:rPr>
          <w:rFonts w:ascii="Calibri" w:cs="Calibri" w:eastAsia="Calibri" w:hAnsi="Calibri"/>
          <w:b/>
          <w:bCs/>
          <w:color w:val="1F3864"/>
          <w:sz w:val="36"/>
          <w:szCs w:val="36"/>
        </w:rPr>
        <w:t xml:space="preserve">3. The Catalyst — An Unmet Need the Market Hasn't Properly Sized</w:t>
      </w:r>
    </w:p>
    <w:p>
      <w:pPr>
        <w:spacing w:after="140" w:line="300"/>
        <w:jc w:val="left"/>
      </w:pPr>
      <w:r>
        <w:rPr>
          <w:rFonts w:ascii="Calibri" w:cs="Calibri" w:eastAsia="Calibri" w:hAnsi="Calibri"/>
          <w:sz w:val="22"/>
          <w:szCs w:val="22"/>
        </w:rPr>
        <w:t xml:space="preserve">Agitation is the </w:t>
      </w:r>
      <w:r>
        <w:rPr>
          <w:rFonts w:ascii="Calibri" w:cs="Calibri" w:eastAsia="Calibri" w:hAnsi="Calibri"/>
          <w:b/>
          <w:bCs/>
          <w:sz w:val="22"/>
          <w:szCs w:val="22"/>
        </w:rPr>
        <w:t xml:space="preserve">most destructive</w:t>
      </w:r>
      <w:r>
        <w:rPr>
          <w:rFonts w:ascii="Calibri" w:cs="Calibri" w:eastAsia="Calibri" w:hAnsi="Calibri"/>
          <w:sz w:val="22"/>
          <w:szCs w:val="22"/>
        </w:rPr>
        <w:t xml:space="preserve"> of Alzheimer's behavioral symptoms. It is the single largest driver of nursing home placement, caregiver burnout, and restraint use. It is the symptom families cite when they say they can no longer keep their loved one at home.</w:t>
      </w:r>
    </w:p>
    <w:p>
      <w:pPr>
        <w:spacing w:after="80" w:before="180"/>
      </w:pPr>
      <w:r>
        <w:rPr>
          <w:rFonts w:ascii="Calibri" w:cs="Calibri" w:eastAsia="Calibri" w:hAnsi="Calibri"/>
          <w:b/>
          <w:bCs/>
          <w:color w:val="555555"/>
          <w:sz w:val="24"/>
          <w:szCs w:val="24"/>
        </w:rPr>
        <w:t xml:space="preserve">The numbers the market is using (stale):</w:t>
      </w:r>
    </w:p>
    <w:p>
      <w:pPr>
        <w:pStyle w:val="ListParagraph"/>
        <w:numPr>
          <w:ilvl w:val="0"/>
          <w:numId w:val="1"/>
        </w:numPr>
        <w:spacing w:after="80" w:line="280"/>
      </w:pPr>
      <w:r>
        <w:rPr>
          <w:rFonts w:ascii="Calibri" w:cs="Calibri" w:eastAsia="Calibri" w:hAnsi="Calibri"/>
          <w:sz w:val="22"/>
          <w:szCs w:val="22"/>
        </w:rPr>
        <w:t xml:space="preserve">~50% of AD patients experience agitation</w:t>
      </w:r>
    </w:p>
    <w:p>
      <w:pPr>
        <w:pStyle w:val="ListParagraph"/>
        <w:numPr>
          <w:ilvl w:val="0"/>
          <w:numId w:val="1"/>
        </w:numPr>
        <w:spacing w:after="80" w:line="280"/>
      </w:pPr>
      <w:r>
        <w:rPr>
          <w:rFonts w:ascii="Calibri" w:cs="Calibri" w:eastAsia="Calibri" w:hAnsi="Calibri"/>
          <w:sz w:val="22"/>
          <w:szCs w:val="22"/>
        </w:rPr>
        <w:t xml:space="preserve">Estimated addressable population: ~3.25M US patients</w:t>
      </w:r>
    </w:p>
    <w:p>
      <w:pPr>
        <w:spacing w:after="80" w:before="180"/>
      </w:pPr>
      <w:r>
        <w:rPr>
          <w:rFonts w:ascii="Calibri" w:cs="Calibri" w:eastAsia="Calibri" w:hAnsi="Calibri"/>
          <w:b/>
          <w:bCs/>
          <w:color w:val="555555"/>
          <w:sz w:val="24"/>
          <w:szCs w:val="24"/>
        </w:rPr>
        <w:t xml:space="preserve">The numbers the data actually supports (updated):</w:t>
      </w:r>
    </w:p>
    <w:p>
      <w:pPr>
        <w:pStyle w:val="ListParagraph"/>
        <w:numPr>
          <w:ilvl w:val="0"/>
          <w:numId w:val="1"/>
        </w:numPr>
        <w:spacing w:after="80" w:line="280"/>
      </w:pPr>
      <w:r>
        <w:rPr>
          <w:rFonts w:ascii="Calibri" w:cs="Calibri" w:eastAsia="Calibri" w:hAnsi="Calibri"/>
          <w:sz w:val="22"/>
          <w:szCs w:val="22"/>
        </w:rPr>
        <w:t xml:space="preserve">Up to 76% of patients with AD dementia experience agitation (≈60% at MCI stage)</w:t>
      </w:r>
    </w:p>
    <w:p>
      <w:pPr>
        <w:pStyle w:val="ListParagraph"/>
        <w:numPr>
          <w:ilvl w:val="0"/>
          <w:numId w:val="1"/>
        </w:numPr>
        <w:spacing w:after="80" w:line="280"/>
      </w:pPr>
      <w:r>
        <w:rPr>
          <w:rFonts w:ascii="Calibri" w:cs="Calibri" w:eastAsia="Calibri" w:hAnsi="Calibri"/>
          <w:sz w:val="22"/>
          <w:szCs w:val="22"/>
        </w:rPr>
        <w:t xml:space="preserve">US documented diagnosed cases of AD-linked agitation (2023): ~5.23M</w:t>
      </w:r>
    </w:p>
    <w:p>
      <w:pPr>
        <w:pStyle w:val="ListParagraph"/>
        <w:numPr>
          <w:ilvl w:val="0"/>
          <w:numId w:val="1"/>
        </w:numPr>
        <w:spacing w:after="80" w:line="280"/>
      </w:pPr>
      <w:r>
        <w:rPr>
          <w:rFonts w:ascii="Calibri" w:cs="Calibri" w:eastAsia="Calibri" w:hAnsi="Calibri"/>
          <w:sz w:val="22"/>
          <w:szCs w:val="22"/>
        </w:rPr>
        <w:t xml:space="preserve">Total AD dementia population (US, age 65+): 7.2M</w:t>
      </w:r>
    </w:p>
    <w:tbl>
      <w:tblPr>
        <w:tblW w:type="dxa" w:w="10800"/>
        <w:tblBorders>
          <w:top w:val="single" w:color="2E7D32" w:sz="6"/>
          <w:left w:val="single" w:color="2E7D32" w:sz="24"/>
          <w:bottom w:val="single" w:color="2E7D32" w:sz="6"/>
          <w:right w:val="single" w:color="DDDDDD" w:sz="6"/>
          <w:insideH w:val="none" w:color="FFFFFF" w:sz="0"/>
          <w:insideV w:val="none" w:color="FFFFFF" w:sz="0"/>
        </w:tblBorders>
      </w:tblPr>
      <w:tblGrid>
        <w:gridCol w:w="100"/>
      </w:tblGrid>
      <w:tr>
        <w:tc>
          <w:tcPr>
            <w:shd w:fill="E8F5E9" w:color="auto" w:val="clear"/>
            <w:tcMar>
              <w:top w:type="dxa" w:w="150"/>
              <w:left w:type="dxa" w:w="200"/>
              <w:bottom w:type="dxa" w:w="150"/>
              <w:right w:type="dxa" w:w="150"/>
            </w:tcMar>
          </w:tcPr>
          <w:p>
            <w:pPr>
              <w:spacing w:after="80"/>
            </w:pPr>
            <w:r>
              <w:rPr>
                <w:rFonts w:ascii="Calibri" w:cs="Calibri" w:eastAsia="Calibri" w:hAnsi="Calibri"/>
                <w:b/>
                <w:bCs/>
                <w:color w:val="2E7D32"/>
                <w:sz w:val="22"/>
                <w:szCs w:val="22"/>
              </w:rPr>
              <w:t xml:space="preserve">The Market Is Two-Thirds Larger Than Cited</w:t>
            </w:r>
          </w:p>
          <w:p>
            <w:pPr>
              <w:spacing w:after="140" w:line="300"/>
              <w:jc w:val="left"/>
            </w:pPr>
            <w:r>
              <w:rPr>
                <w:rFonts w:ascii="Calibri" w:cs="Calibri" w:eastAsia="Calibri" w:hAnsi="Calibri"/>
                <w:sz w:val="22"/>
                <w:szCs w:val="22"/>
              </w:rPr>
              <w:t xml:space="preserve">Using the 76% AD-dementia prevalence and 7.2M US patient base yields an addressable population of ~5.5M — roughly 1.7x the 3.25M figure commonly anchored in sell-side models. Even with modest penetration assumptions, this materially moves peak-sales math upward. Axsome's own commercial ambition has been notably understated in sell-side consensus, and the asymmetric setup is not just regulatory — it is structural.</w:t>
            </w:r>
          </w:p>
        </w:tc>
      </w:tr>
    </w:tbl>
    <w:p>
      <w:pPr>
        <w:spacing w:after="80" w:before="180"/>
      </w:pPr>
      <w:r>
        <w:rPr>
          <w:rFonts w:ascii="Calibri" w:cs="Calibri" w:eastAsia="Calibri" w:hAnsi="Calibri"/>
          <w:b/>
          <w:bCs/>
          <w:color w:val="555555"/>
          <w:sz w:val="24"/>
          <w:szCs w:val="24"/>
        </w:rPr>
        <w:t xml:space="preserve">The competitive frame:</w:t>
      </w:r>
    </w:p>
    <w:p>
      <w:pPr>
        <w:spacing w:after="140" w:line="300"/>
        <w:jc w:val="left"/>
      </w:pPr>
      <w:r>
        <w:rPr>
          <w:rFonts w:ascii="Calibri" w:cs="Calibri" w:eastAsia="Calibri" w:hAnsi="Calibri"/>
          <w:sz w:val="22"/>
          <w:szCs w:val="22"/>
        </w:rPr>
        <w:t xml:space="preserve">Rexulti (brexpiprazole), approved May 2023, is the </w:t>
      </w:r>
      <w:r>
        <w:rPr>
          <w:rFonts w:ascii="Calibri" w:cs="Calibri" w:eastAsia="Calibri" w:hAnsi="Calibri"/>
          <w:b/>
          <w:bCs/>
          <w:sz w:val="22"/>
          <w:szCs w:val="22"/>
        </w:rPr>
        <w:t xml:space="preserve">only</w:t>
      </w:r>
      <w:r>
        <w:rPr>
          <w:rFonts w:ascii="Calibri" w:cs="Calibri" w:eastAsia="Calibri" w:hAnsi="Calibri"/>
          <w:sz w:val="22"/>
          <w:szCs w:val="22"/>
        </w:rPr>
        <w:t xml:space="preserve"> FDA-approved competitor. Otsuka and Lundbeck are guiding toward </w:t>
      </w:r>
      <w:r>
        <w:rPr>
          <w:rFonts w:ascii="Calibri" w:cs="Calibri" w:eastAsia="Calibri" w:hAnsi="Calibri"/>
          <w:b/>
          <w:bCs/>
          <w:sz w:val="22"/>
          <w:szCs w:val="22"/>
        </w:rPr>
        <w:t xml:space="preserve">~$1B in peak annual sales</w:t>
      </w:r>
      <w:r>
        <w:rPr>
          <w:rFonts w:ascii="Calibri" w:cs="Calibri" w:eastAsia="Calibri" w:hAnsi="Calibri"/>
          <w:sz w:val="22"/>
          <w:szCs w:val="22"/>
        </w:rPr>
        <w:t xml:space="preserve"> from the AD agitation indication at ~$1,400/month. But Rexulti carries a Boxed Warning: elderly patients with dementia-related psychosis treated with antipsychotic drugs are at increased risk of death. This warning is on the label because it is demonstrated in clinical trials — not theoretical.</w:t>
      </w:r>
    </w:p>
    <w:p>
      <w:pPr>
        <w:spacing w:after="140" w:line="300"/>
        <w:jc w:val="left"/>
      </w:pPr>
      <w:r>
        <w:rPr>
          <w:rFonts w:ascii="Calibri" w:cs="Calibri" w:eastAsia="Calibri" w:hAnsi="Calibri"/>
          <w:b/>
          <w:bCs/>
          <w:sz w:val="22"/>
          <w:szCs w:val="22"/>
        </w:rPr>
        <w:t xml:space="preserve">AXS-05 is not an antipsychotic</w:t>
      </w:r>
      <w:r>
        <w:rPr>
          <w:rFonts w:ascii="Calibri" w:cs="Calibri" w:eastAsia="Calibri" w:hAnsi="Calibri"/>
          <w:sz w:val="22"/>
          <w:szCs w:val="22"/>
        </w:rPr>
        <w:t xml:space="preserve">. It is a dextromethorphan/bupropion combination. The mechanism is glutamatergic/NMDA-modulating and noradrenergic — fundamentally different. If approved, AXS-05 would be the </w:t>
      </w:r>
      <w:r>
        <w:rPr>
          <w:rFonts w:ascii="Calibri" w:cs="Calibri" w:eastAsia="Calibri" w:hAnsi="Calibri"/>
          <w:b/>
          <w:bCs/>
          <w:sz w:val="22"/>
          <w:szCs w:val="22"/>
        </w:rPr>
        <w:t xml:space="preserve">first non-antipsychotic</w:t>
      </w:r>
      <w:r>
        <w:rPr>
          <w:rFonts w:ascii="Calibri" w:cs="Calibri" w:eastAsia="Calibri" w:hAnsi="Calibri"/>
          <w:sz w:val="22"/>
          <w:szCs w:val="22"/>
        </w:rPr>
        <w:t xml:space="preserve"> approved for AD agitation. In a patient population where physicians, caregivers, and LTC administrators are acutely sensitive to black-box warnings, this is not a minor differentiator.</w:t>
      </w:r>
    </w:p>
    <w:p>
      <w:r>
        <w:br w:type="page"/>
      </w:r>
    </w:p>
    <w:p>
      <w:pPr>
        <w:pBdr>
          <w:bottom w:val="single" w:color="1F3864" w:sz="12"/>
        </w:pBdr>
        <w:spacing w:after="180" w:before="360"/>
      </w:pPr>
      <w:r>
        <w:rPr>
          <w:rFonts w:ascii="Calibri" w:cs="Calibri" w:eastAsia="Calibri" w:hAnsi="Calibri"/>
          <w:b/>
          <w:bCs/>
          <w:color w:val="1F3864"/>
          <w:sz w:val="36"/>
          <w:szCs w:val="36"/>
        </w:rPr>
        <w:t xml:space="preserve">4. The Clinical Case — Read the Evidence, Not the Headline</w:t>
      </w:r>
    </w:p>
    <w:p>
      <w:pPr>
        <w:spacing w:after="140" w:line="300"/>
        <w:jc w:val="left"/>
      </w:pPr>
      <w:r>
        <w:rPr>
          <w:rFonts w:ascii="Calibri" w:cs="Calibri" w:eastAsia="Calibri" w:hAnsi="Calibri"/>
          <w:sz w:val="22"/>
          <w:szCs w:val="22"/>
        </w:rPr>
        <w:t xml:space="preserve">The market still remembers the ADVANCE-2 headline. That is where most shallow analyses stop. The thesis requires reading further.</w:t>
      </w:r>
    </w:p>
    <w:p>
      <w:pPr>
        <w:spacing w:after="120" w:before="240"/>
      </w:pPr>
      <w:r>
        <w:rPr>
          <w:rFonts w:ascii="Calibri" w:cs="Calibri" w:eastAsia="Calibri" w:hAnsi="Calibri"/>
          <w:b/>
          <w:bCs/>
          <w:color w:val="2B5797"/>
          <w:sz w:val="28"/>
          <w:szCs w:val="28"/>
        </w:rPr>
        <w:t xml:space="preserve">ADVANCE-2 (5-week RCT): The Headline Miss</w:t>
      </w:r>
    </w:p>
    <w:p>
      <w:pPr>
        <w:spacing w:after="140" w:line="300"/>
        <w:jc w:val="left"/>
      </w:pPr>
      <w:r>
        <w:rPr>
          <w:rFonts w:ascii="Calibri" w:cs="Calibri" w:eastAsia="Calibri" w:hAnsi="Calibri"/>
          <w:sz w:val="22"/>
          <w:szCs w:val="22"/>
        </w:rPr>
        <w:t xml:space="preserve">ADVANCE-2 evaluated AXS-05 vs placebo over 5 weeks on the Cohen-Mansfield Agitation Inventory (CMAI) primary endpoint. Result:</w:t>
      </w:r>
    </w:p>
    <w:p>
      <w:pPr>
        <w:pStyle w:val="ListParagraph"/>
        <w:numPr>
          <w:ilvl w:val="0"/>
          <w:numId w:val="1"/>
        </w:numPr>
        <w:spacing w:after="80" w:line="280"/>
      </w:pPr>
      <w:r>
        <w:rPr>
          <w:rFonts w:ascii="Calibri" w:cs="Calibri" w:eastAsia="Calibri" w:hAnsi="Calibri"/>
          <w:sz w:val="22"/>
          <w:szCs w:val="22"/>
        </w:rPr>
        <w:t xml:space="preserve">CMAI change: −13.8 (AXS-05) vs −12.6 (placebo)</w:t>
      </w:r>
    </w:p>
    <w:p>
      <w:pPr>
        <w:pStyle w:val="ListParagraph"/>
        <w:numPr>
          <w:ilvl w:val="0"/>
          <w:numId w:val="1"/>
        </w:numPr>
        <w:spacing w:after="80" w:line="280"/>
      </w:pPr>
      <w:r>
        <w:rPr>
          <w:rFonts w:ascii="Calibri" w:cs="Calibri" w:eastAsia="Calibri" w:hAnsi="Calibri"/>
          <w:sz w:val="22"/>
          <w:szCs w:val="22"/>
        </w:rPr>
        <w:t xml:space="preserve">P-value: 0.415 — miss on primary</w:t>
      </w:r>
    </w:p>
    <w:p>
      <w:pPr>
        <w:spacing w:after="140" w:line="300"/>
        <w:jc w:val="left"/>
      </w:pPr>
      <w:r>
        <w:rPr>
          <w:rFonts w:ascii="Calibri" w:cs="Calibri" w:eastAsia="Calibri" w:hAnsi="Calibri"/>
          <w:sz w:val="22"/>
          <w:szCs w:val="22"/>
        </w:rPr>
        <w:t xml:space="preserve">This is the piece the market won't let go of. But the secondary endpoints tell a </w:t>
      </w:r>
      <w:r>
        <w:rPr>
          <w:rFonts w:ascii="Calibri" w:cs="Calibri" w:eastAsia="Calibri" w:hAnsi="Calibri"/>
          <w:b/>
          <w:bCs/>
          <w:sz w:val="22"/>
          <w:szCs w:val="22"/>
        </w:rPr>
        <w:t xml:space="preserve">very different story</w:t>
      </w:r>
      <w:r>
        <w:rPr>
          <w:rFonts w:ascii="Calibri" w:cs="Calibri" w:eastAsia="Calibri" w:hAnsi="Calibri"/>
          <w:sz w:val="22"/>
          <w:szCs w:val="22"/>
        </w:rPr>
        <w:t xml:space="preserve">:</w:t>
      </w:r>
    </w:p>
    <w:p>
      <w:pPr>
        <w:pStyle w:val="ListParagraph"/>
        <w:numPr>
          <w:ilvl w:val="0"/>
          <w:numId w:val="1"/>
        </w:numPr>
        <w:spacing w:after="80" w:line="280"/>
      </w:pPr>
      <w:r>
        <w:rPr>
          <w:rFonts w:ascii="Calibri" w:cs="Calibri" w:eastAsia="Calibri" w:hAnsi="Calibri"/>
          <w:sz w:val="22"/>
          <w:szCs w:val="22"/>
        </w:rPr>
        <w:t xml:space="preserve">CGI-S (Clinical Global Impression of Severity): statistically significant improvement, P=.004</w:t>
      </w:r>
    </w:p>
    <w:p>
      <w:pPr>
        <w:pStyle w:val="ListParagraph"/>
        <w:numPr>
          <w:ilvl w:val="0"/>
          <w:numId w:val="1"/>
        </w:numPr>
        <w:spacing w:after="80" w:line="280"/>
      </w:pPr>
      <w:r>
        <w:rPr>
          <w:rFonts w:ascii="Calibri" w:cs="Calibri" w:eastAsia="Calibri" w:hAnsi="Calibri"/>
          <w:sz w:val="22"/>
          <w:szCs w:val="22"/>
        </w:rPr>
        <w:t xml:space="preserve">Multiple clinician-rated measures: directional benefit favoring AXS-05</w:t>
      </w:r>
    </w:p>
    <w:p>
      <w:pPr>
        <w:pStyle w:val="ListParagraph"/>
        <w:numPr>
          <w:ilvl w:val="0"/>
          <w:numId w:val="1"/>
        </w:numPr>
        <w:spacing w:after="80" w:line="280"/>
      </w:pPr>
      <w:r>
        <w:rPr>
          <w:rFonts w:ascii="Calibri" w:cs="Calibri" w:eastAsia="Calibri" w:hAnsi="Calibri"/>
          <w:sz w:val="22"/>
          <w:szCs w:val="22"/>
        </w:rPr>
        <w:t xml:space="preserve">High placebo response — a known and increasingly pervasive issue in short-duration CNS RCTs</w:t>
      </w:r>
    </w:p>
    <w:tbl>
      <w:tblPr>
        <w:tblW w:type="dxa" w:w="10800"/>
        <w:tblBorders>
          <w:top w:val="single" w:color="1F3864" w:sz="6"/>
          <w:left w:val="single" w:color="1F3864" w:sz="24"/>
          <w:bottom w:val="single" w:color="1F3864" w:sz="6"/>
          <w:right w:val="single" w:color="DDDDDD" w:sz="6"/>
          <w:insideH w:val="none" w:color="FFFFFF" w:sz="0"/>
          <w:insideV w:val="none" w:color="FFFFFF" w:sz="0"/>
        </w:tblBorders>
      </w:tblPr>
      <w:tblGrid>
        <w:gridCol w:w="100"/>
      </w:tblGrid>
      <w:tr>
        <w:tc>
          <w:tcPr>
            <w:shd w:fill="F2F5F9" w:color="auto" w:val="clear"/>
            <w:tcMar>
              <w:top w:type="dxa" w:w="150"/>
              <w:left w:type="dxa" w:w="200"/>
              <w:bottom w:type="dxa" w:w="150"/>
              <w:right w:type="dxa" w:w="150"/>
            </w:tcMar>
          </w:tcPr>
          <w:p>
            <w:pPr>
              <w:spacing w:after="80"/>
            </w:pPr>
            <w:r>
              <w:rPr>
                <w:rFonts w:ascii="Calibri" w:cs="Calibri" w:eastAsia="Calibri" w:hAnsi="Calibri"/>
                <w:b/>
                <w:bCs/>
                <w:color w:val="1F3864"/>
                <w:sz w:val="22"/>
                <w:szCs w:val="22"/>
              </w:rPr>
              <w:t xml:space="preserve">A Statistical Reading of ADVANCE-2</w:t>
            </w:r>
          </w:p>
          <w:p>
            <w:pPr>
              <w:spacing w:after="140" w:line="300"/>
              <w:jc w:val="left"/>
            </w:pPr>
            <w:r>
              <w:rPr>
                <w:rFonts w:ascii="Calibri" w:cs="Calibri" w:eastAsia="Calibri" w:hAnsi="Calibri"/>
                <w:sz w:val="22"/>
                <w:szCs w:val="22"/>
              </w:rPr>
              <w:t xml:space="preserve">A 1.2-point CMAI separation with P=.415 in a 5-week study is not evidence of inefficacy — it is evidence of an underpowered trial with a high placebo response. When the SAME drug shows P=.004 on clinician-rated severity, the conclusion is that the primary endpoint was the wrong instrument, not that the drug doesn't work. This interpretation is NOT speculative — it is what the ACCORD program subsequently confirmed with a stronger design.</w:t>
            </w:r>
          </w:p>
        </w:tc>
      </w:tr>
    </w:tbl>
    <w:p>
      <w:pPr>
        <w:spacing w:after="120" w:before="240"/>
      </w:pPr>
      <w:r>
        <w:rPr>
          <w:rFonts w:ascii="Calibri" w:cs="Calibri" w:eastAsia="Calibri" w:hAnsi="Calibri"/>
          <w:b/>
          <w:bCs/>
          <w:color w:val="2B5797"/>
          <w:sz w:val="28"/>
          <w:szCs w:val="28"/>
        </w:rPr>
        <w:t xml:space="preserve">ACCORD-1 &amp; ACCORD-2 (Relapse Prevention with Responder Randomization): The Data That Matters</w:t>
      </w:r>
    </w:p>
    <w:p>
      <w:pPr>
        <w:spacing w:after="140" w:line="300"/>
        <w:jc w:val="left"/>
      </w:pPr>
      <w:r>
        <w:rPr>
          <w:rFonts w:ascii="Calibri" w:cs="Calibri" w:eastAsia="Calibri" w:hAnsi="Calibri"/>
          <w:sz w:val="22"/>
          <w:szCs w:val="22"/>
        </w:rPr>
        <w:t xml:space="preserve">ACCORD-1 and ACCORD-2 used a </w:t>
      </w:r>
      <w:r>
        <w:rPr>
          <w:rFonts w:ascii="Calibri" w:cs="Calibri" w:eastAsia="Calibri" w:hAnsi="Calibri"/>
          <w:b/>
          <w:bCs/>
          <w:sz w:val="22"/>
          <w:szCs w:val="22"/>
        </w:rPr>
        <w:t xml:space="preserve">responder-randomization withdrawal design</w:t>
      </w:r>
      <w:r>
        <w:rPr>
          <w:rFonts w:ascii="Calibri" w:cs="Calibri" w:eastAsia="Calibri" w:hAnsi="Calibri"/>
          <w:sz w:val="22"/>
          <w:szCs w:val="22"/>
        </w:rPr>
        <w:t xml:space="preserve"> — the gold-standard for chronic CNS conditions. Patients who responded to open-label AXS-05 were randomized to either continue AXS-05 or switch to placebo. Time to relapse was the primary endpoint.</w:t>
      </w:r>
    </w:p>
    <w:p>
      <w:pPr>
        <w:pStyle w:val="ListParagraph"/>
        <w:numPr>
          <w:ilvl w:val="0"/>
          <w:numId w:val="1"/>
        </w:numPr>
        <w:spacing w:after="80" w:line="280"/>
      </w:pPr>
      <w:r>
        <w:rPr>
          <w:rFonts w:ascii="Calibri" w:cs="Calibri" w:eastAsia="Calibri" w:hAnsi="Calibri"/>
          <w:sz w:val="22"/>
          <w:szCs w:val="22"/>
        </w:rPr>
        <w:t xml:space="preserve">Both ACCORD-1 and ACCORD-2: HIT primary endpoint</w:t>
      </w:r>
    </w:p>
    <w:p>
      <w:pPr>
        <w:pStyle w:val="ListParagraph"/>
        <w:numPr>
          <w:ilvl w:val="0"/>
          <w:numId w:val="1"/>
        </w:numPr>
        <w:spacing w:after="80" w:line="280"/>
      </w:pPr>
      <w:r>
        <w:rPr>
          <w:rFonts w:ascii="Calibri" w:cs="Calibri" w:eastAsia="Calibri" w:hAnsi="Calibri"/>
          <w:sz w:val="22"/>
          <w:szCs w:val="22"/>
        </w:rPr>
        <w:t xml:space="preserve">Hazard ratio: ~0.276 — AXS-05 patients were ~72% less likely to relapse</w:t>
      </w:r>
    </w:p>
    <w:p>
      <w:pPr>
        <w:pStyle w:val="ListParagraph"/>
        <w:numPr>
          <w:ilvl w:val="0"/>
          <w:numId w:val="1"/>
        </w:numPr>
        <w:spacing w:after="80" w:line="280"/>
      </w:pPr>
      <w:r>
        <w:rPr>
          <w:rFonts w:ascii="Calibri" w:cs="Calibri" w:eastAsia="Calibri" w:hAnsi="Calibri"/>
          <w:sz w:val="22"/>
          <w:szCs w:val="22"/>
        </w:rPr>
        <w:t xml:space="preserve">Relapse rates: ~7.5–8.4% on AXS-05 vs ~25.9–28.6% on placebo</w:t>
      </w:r>
    </w:p>
    <w:p>
      <w:pPr>
        <w:pStyle w:val="ListParagraph"/>
        <w:numPr>
          <w:ilvl w:val="0"/>
          <w:numId w:val="1"/>
        </w:numPr>
        <w:spacing w:after="80" w:line="280"/>
      </w:pPr>
      <w:r>
        <w:rPr>
          <w:rFonts w:ascii="Calibri" w:cs="Calibri" w:eastAsia="Calibri" w:hAnsi="Calibri"/>
          <w:sz w:val="22"/>
          <w:szCs w:val="22"/>
        </w:rPr>
        <w:t xml:space="preserve">Statistical significance: highly significant across both trials</w:t>
      </w:r>
    </w:p>
    <w:p>
      <w:pPr>
        <w:spacing w:after="140" w:line="300"/>
        <w:jc w:val="left"/>
      </w:pPr>
      <w:r>
        <w:rPr>
          <w:rFonts w:ascii="Calibri" w:cs="Calibri" w:eastAsia="Calibri" w:hAnsi="Calibri"/>
          <w:sz w:val="22"/>
          <w:szCs w:val="22"/>
        </w:rPr>
        <w:t xml:space="preserve">This design matters for two reasons. First, it controls for the placebo-response problem that plagued ADVANCE-2. Second — and this is what payers and CMS actually care about — it demonstrates </w:t>
      </w:r>
      <w:r>
        <w:rPr>
          <w:rFonts w:ascii="Calibri" w:cs="Calibri" w:eastAsia="Calibri" w:hAnsi="Calibri"/>
          <w:b/>
          <w:bCs/>
          <w:sz w:val="22"/>
          <w:szCs w:val="22"/>
        </w:rPr>
        <w:t xml:space="preserve">maintenance of response</w:t>
      </w:r>
      <w:r>
        <w:rPr>
          <w:rFonts w:ascii="Calibri" w:cs="Calibri" w:eastAsia="Calibri" w:hAnsi="Calibri"/>
          <w:sz w:val="22"/>
          <w:szCs w:val="22"/>
        </w:rPr>
        <w:t xml:space="preserve">, which is the real clinical question in a chronic, progressive disease. A drug that gets a patient better for five weeks is interesting. A drug that keeps them better is reimbursable.</w:t>
      </w:r>
    </w:p>
    <w:p>
      <w:pPr>
        <w:spacing w:after="120" w:before="240"/>
      </w:pPr>
      <w:r>
        <w:rPr>
          <w:rFonts w:ascii="Calibri" w:cs="Calibri" w:eastAsia="Calibri" w:hAnsi="Calibri"/>
          <w:b/>
          <w:bCs/>
          <w:color w:val="2B5797"/>
          <w:sz w:val="28"/>
          <w:szCs w:val="28"/>
        </w:rPr>
        <w:t xml:space="preserve">The Regulatory Implication</w:t>
      </w:r>
    </w:p>
    <w:p>
      <w:pPr>
        <w:spacing w:after="140" w:line="300"/>
        <w:jc w:val="left"/>
      </w:pPr>
      <w:r>
        <w:rPr>
          <w:rFonts w:ascii="Calibri" w:cs="Calibri" w:eastAsia="Calibri" w:hAnsi="Calibri"/>
          <w:sz w:val="22"/>
          <w:szCs w:val="22"/>
        </w:rPr>
        <w:t xml:space="preserve">The FDA granted </w:t>
      </w:r>
      <w:r>
        <w:rPr>
          <w:rFonts w:ascii="Calibri" w:cs="Calibri" w:eastAsia="Calibri" w:hAnsi="Calibri"/>
          <w:b/>
          <w:bCs/>
          <w:sz w:val="22"/>
          <w:szCs w:val="22"/>
        </w:rPr>
        <w:t xml:space="preserve">Breakthrough Therapy Designation in June 2020</w:t>
      </w:r>
      <w:r>
        <w:rPr>
          <w:rFonts w:ascii="Calibri" w:cs="Calibri" w:eastAsia="Calibri" w:hAnsi="Calibri"/>
          <w:sz w:val="22"/>
          <w:szCs w:val="22"/>
        </w:rPr>
        <w:t xml:space="preserve"> — before the ACCORD data were even public. The agency's willingness to grant Priority Review on this sNDA in 2025, and to not schedule an AdCom, signals confidence in the clinical package. The FDA does not grant BTD + Priority Review + no-AdCom to marginal filings.</w:t>
      </w:r>
    </w:p>
    <w:p>
      <w:r>
        <w:br w:type="page"/>
      </w:r>
    </w:p>
    <w:p>
      <w:pPr>
        <w:pBdr>
          <w:bottom w:val="single" w:color="1F3864" w:sz="12"/>
        </w:pBdr>
        <w:spacing w:after="180" w:before="360"/>
      </w:pPr>
      <w:r>
        <w:rPr>
          <w:rFonts w:ascii="Calibri" w:cs="Calibri" w:eastAsia="Calibri" w:hAnsi="Calibri"/>
          <w:b/>
          <w:bCs/>
          <w:color w:val="1F3864"/>
          <w:sz w:val="36"/>
          <w:szCs w:val="36"/>
        </w:rPr>
        <w:t xml:space="preserve">5. The Commercial Case — Economics That Add Up</w:t>
      </w:r>
    </w:p>
    <w:p>
      <w:pPr>
        <w:spacing w:after="120" w:before="240"/>
      </w:pPr>
      <w:r>
        <w:rPr>
          <w:rFonts w:ascii="Calibri" w:cs="Calibri" w:eastAsia="Calibri" w:hAnsi="Calibri"/>
          <w:b/>
          <w:bCs/>
          <w:color w:val="2B5797"/>
          <w:sz w:val="28"/>
          <w:szCs w:val="28"/>
        </w:rPr>
        <w:t xml:space="preserve">The drug-pricing story (direct):</w:t>
      </w:r>
    </w:p>
    <w:p>
      <w:pPr>
        <w:pStyle w:val="ListParagraph"/>
        <w:numPr>
          <w:ilvl w:val="0"/>
          <w:numId w:val="1"/>
        </w:numPr>
        <w:spacing w:after="80" w:line="280"/>
      </w:pPr>
      <w:r>
        <w:rPr>
          <w:rFonts w:ascii="Calibri" w:cs="Calibri" w:eastAsia="Calibri" w:hAnsi="Calibri"/>
          <w:sz w:val="22"/>
          <w:szCs w:val="22"/>
        </w:rPr>
        <w:t xml:space="preserve">Rexulti: ~$1,400/month</w:t>
      </w:r>
    </w:p>
    <w:p>
      <w:pPr>
        <w:pStyle w:val="ListParagraph"/>
        <w:numPr>
          <w:ilvl w:val="0"/>
          <w:numId w:val="1"/>
        </w:numPr>
        <w:spacing w:after="80" w:line="280"/>
      </w:pPr>
      <w:r>
        <w:rPr>
          <w:rFonts w:ascii="Calibri" w:cs="Calibri" w:eastAsia="Calibri" w:hAnsi="Calibri"/>
          <w:sz w:val="22"/>
          <w:szCs w:val="22"/>
        </w:rPr>
        <w:t xml:space="preserve">AXS-05 (Auvelity MDD pricing): similar specialty pharmacy tier</w:t>
      </w:r>
    </w:p>
    <w:p>
      <w:pPr>
        <w:pStyle w:val="ListParagraph"/>
        <w:numPr>
          <w:ilvl w:val="0"/>
          <w:numId w:val="1"/>
        </w:numPr>
        <w:spacing w:after="80" w:line="280"/>
      </w:pPr>
      <w:r>
        <w:rPr>
          <w:rFonts w:ascii="Calibri" w:cs="Calibri" w:eastAsia="Calibri" w:hAnsi="Calibri"/>
          <w:sz w:val="22"/>
          <w:szCs w:val="22"/>
        </w:rPr>
        <w:t xml:space="preserve">Peak sales opportunity (AD agitation): Rexulti guided $1B; AXS-05 structurally addressable market is larger</w:t>
      </w:r>
    </w:p>
    <w:p>
      <w:pPr>
        <w:spacing w:after="120" w:before="240"/>
      </w:pPr>
      <w:r>
        <w:rPr>
          <w:rFonts w:ascii="Calibri" w:cs="Calibri" w:eastAsia="Calibri" w:hAnsi="Calibri"/>
          <w:b/>
          <w:bCs/>
          <w:color w:val="2B5797"/>
          <w:sz w:val="28"/>
          <w:szCs w:val="28"/>
        </w:rPr>
        <w:t xml:space="preserve">The caregiver economics story (indirect — and under-priced):</w:t>
      </w:r>
    </w:p>
    <w:p>
      <w:pPr>
        <w:spacing w:after="140" w:line="300"/>
        <w:jc w:val="left"/>
      </w:pPr>
      <w:r>
        <w:rPr>
          <w:rFonts w:ascii="Calibri" w:cs="Calibri" w:eastAsia="Calibri" w:hAnsi="Calibri"/>
          <w:sz w:val="22"/>
          <w:szCs w:val="22"/>
        </w:rPr>
        <w:t xml:space="preserve">Agitation is the #1 precipitant of long-term care placement for AD patients. Nursing home placement costs range from </w:t>
      </w:r>
      <w:r>
        <w:rPr>
          <w:rFonts w:ascii="Calibri" w:cs="Calibri" w:eastAsia="Calibri" w:hAnsi="Calibri"/>
          <w:b/>
          <w:bCs/>
          <w:sz w:val="22"/>
          <w:szCs w:val="22"/>
        </w:rPr>
        <w:t xml:space="preserve">$75,000 to $100,000+ per patient per year</w:t>
      </w:r>
      <w:r>
        <w:rPr>
          <w:rFonts w:ascii="Calibri" w:cs="Calibri" w:eastAsia="Calibri" w:hAnsi="Calibri"/>
          <w:sz w:val="22"/>
          <w:szCs w:val="22"/>
        </w:rPr>
        <w:t xml:space="preserve">. A drug that keeps a patient at home for even 6–12 additional months generates system-level savings that dwarf the drug's own cost.</w:t>
      </w:r>
    </w:p>
    <w:p>
      <w:pPr>
        <w:spacing w:after="140" w:line="300"/>
        <w:jc w:val="left"/>
      </w:pPr>
      <w:r>
        <w:rPr>
          <w:rFonts w:ascii="Calibri" w:cs="Calibri" w:eastAsia="Calibri" w:hAnsi="Calibri"/>
          <w:sz w:val="22"/>
          <w:szCs w:val="22"/>
        </w:rPr>
        <w:t xml:space="preserve">This matters because it reframes reimbursement discussions. In a CMS environment increasingly focused on total-cost-of-care rather than drug-price-in-isolation, AXS-05's case is </w:t>
      </w:r>
      <w:r>
        <w:rPr>
          <w:rFonts w:ascii="Calibri" w:cs="Calibri" w:eastAsia="Calibri" w:hAnsi="Calibri"/>
          <w:b/>
          <w:bCs/>
          <w:sz w:val="22"/>
          <w:szCs w:val="22"/>
        </w:rPr>
        <w:t xml:space="preserve">not 'expensive drug'</w:t>
      </w:r>
      <w:r>
        <w:rPr>
          <w:rFonts w:ascii="Calibri" w:cs="Calibri" w:eastAsia="Calibri" w:hAnsi="Calibri"/>
          <w:sz w:val="22"/>
          <w:szCs w:val="22"/>
        </w:rPr>
        <w:t xml:space="preserve"> — it is 'prevention of much more expensive downstream event.' This reframing is visible in progressive payer conversations already underway on Auvelity's MDD label. It is a template that transfers.</w:t>
      </w:r>
    </w:p>
    <w:p>
      <w:pPr>
        <w:spacing w:after="120" w:before="240"/>
      </w:pPr>
      <w:r>
        <w:rPr>
          <w:rFonts w:ascii="Calibri" w:cs="Calibri" w:eastAsia="Calibri" w:hAnsi="Calibri"/>
          <w:b/>
          <w:bCs/>
          <w:color w:val="2B5797"/>
          <w:sz w:val="28"/>
          <w:szCs w:val="28"/>
        </w:rPr>
        <w:t xml:space="preserve">The operational leverage:</w:t>
      </w:r>
    </w:p>
    <w:p>
      <w:pPr>
        <w:pStyle w:val="ListParagraph"/>
        <w:numPr>
          <w:ilvl w:val="0"/>
          <w:numId w:val="1"/>
        </w:numPr>
        <w:spacing w:after="80" w:line="280"/>
      </w:pPr>
      <w:r>
        <w:rPr>
          <w:rFonts w:ascii="Calibri" w:cs="Calibri" w:eastAsia="Calibri" w:hAnsi="Calibri"/>
          <w:sz w:val="22"/>
          <w:szCs w:val="22"/>
        </w:rPr>
        <w:t xml:space="preserve">Sales force already deployed and trained on Auvelity</w:t>
      </w:r>
    </w:p>
    <w:p>
      <w:pPr>
        <w:pStyle w:val="ListParagraph"/>
        <w:numPr>
          <w:ilvl w:val="0"/>
          <w:numId w:val="1"/>
        </w:numPr>
        <w:spacing w:after="80" w:line="280"/>
      </w:pPr>
      <w:r>
        <w:rPr>
          <w:rFonts w:ascii="Calibri" w:cs="Calibri" w:eastAsia="Calibri" w:hAnsi="Calibri"/>
          <w:sz w:val="22"/>
          <w:szCs w:val="22"/>
        </w:rPr>
        <w:t xml:space="preserve">Specialty pharmacy network established</w:t>
      </w:r>
    </w:p>
    <w:p>
      <w:pPr>
        <w:pStyle w:val="ListParagraph"/>
        <w:numPr>
          <w:ilvl w:val="0"/>
          <w:numId w:val="1"/>
        </w:numPr>
        <w:spacing w:after="80" w:line="280"/>
      </w:pPr>
      <w:r>
        <w:rPr>
          <w:rFonts w:ascii="Calibri" w:cs="Calibri" w:eastAsia="Calibri" w:hAnsi="Calibri"/>
          <w:sz w:val="22"/>
          <w:szCs w:val="22"/>
        </w:rPr>
        <w:t xml:space="preserve">Payer contracts in place with 86% commercial coverage</w:t>
      </w:r>
    </w:p>
    <w:p>
      <w:pPr>
        <w:pStyle w:val="ListParagraph"/>
        <w:numPr>
          <w:ilvl w:val="0"/>
          <w:numId w:val="1"/>
        </w:numPr>
        <w:spacing w:after="80" w:line="280"/>
      </w:pPr>
      <w:r>
        <w:rPr>
          <w:rFonts w:ascii="Calibri" w:cs="Calibri" w:eastAsia="Calibri" w:hAnsi="Calibri"/>
          <w:sz w:val="22"/>
          <w:szCs w:val="22"/>
        </w:rPr>
        <w:t xml:space="preserve">Manufacturing validated; no new capacity required</w:t>
      </w:r>
    </w:p>
    <w:p>
      <w:pPr>
        <w:pStyle w:val="ListParagraph"/>
        <w:numPr>
          <w:ilvl w:val="0"/>
          <w:numId w:val="1"/>
        </w:numPr>
        <w:spacing w:after="80" w:line="280"/>
      </w:pPr>
      <w:r>
        <w:rPr>
          <w:rFonts w:ascii="Calibri" w:cs="Calibri" w:eastAsia="Calibri" w:hAnsi="Calibri"/>
          <w:sz w:val="22"/>
          <w:szCs w:val="22"/>
        </w:rPr>
        <w:t xml:space="preserve">Physician education infrastructure operational</w:t>
      </w:r>
    </w:p>
    <w:p>
      <w:r>
        <w:br w:type="page"/>
      </w:r>
    </w:p>
    <w:p>
      <w:pPr>
        <w:pBdr>
          <w:bottom w:val="single" w:color="1F3864" w:sz="12"/>
        </w:pBdr>
        <w:spacing w:after="180" w:before="360"/>
      </w:pPr>
      <w:r>
        <w:rPr>
          <w:rFonts w:ascii="Calibri" w:cs="Calibri" w:eastAsia="Calibri" w:hAnsi="Calibri"/>
          <w:b/>
          <w:bCs/>
          <w:color w:val="1F3864"/>
          <w:sz w:val="36"/>
          <w:szCs w:val="36"/>
        </w:rPr>
        <w:t xml:space="preserve">6. The Quantitative Frame — 7-Dimension Score</w:t>
      </w:r>
    </w:p>
    <w:p>
      <w:pPr>
        <w:spacing w:after="140" w:line="300"/>
        <w:jc w:val="left"/>
      </w:pPr>
      <w:r>
        <w:rPr>
          <w:rFonts w:ascii="Calibri" w:cs="Calibri" w:eastAsia="Calibri" w:hAnsi="Calibri"/>
          <w:sz w:val="22"/>
          <w:szCs w:val="22"/>
        </w:rPr>
        <w:t xml:space="preserve">The investment discovery system scores each candidate across seven dimensions. AXSM scores 30.75 / 35 — BUY threshold is 28, strong-conviction threshold is 30.</w:t>
      </w:r>
    </w:p>
    <w:tbl>
      <w:tblPr>
        <w:tblW w:type="dxa" w:w="10800"/>
        <w:tblBorders>
          <w:top w:val="single" w:color="1F3864" w:sz="12"/>
          <w:left w:val="single" w:color="DDDDDD" w:sz="4"/>
          <w:bottom w:val="single" w:color="1F3864" w:sz="12"/>
          <w:right w:val="single" w:color="DDDDDD" w:sz="4"/>
          <w:insideH w:val="single" w:color="DDDDDD" w:sz="4"/>
          <w:insideV w:val="single" w:color="DDDDDD" w:sz="4"/>
        </w:tblBorders>
      </w:tblPr>
      <w:tblGrid>
        <w:gridCol w:w="100"/>
        <w:gridCol w:w="100"/>
        <w:gridCol w:w="100"/>
      </w:tblGrid>
      <w:tr>
        <w:trPr>
          <w:tblHeader/>
        </w:trPr>
        <w:tc>
          <w:tcPr>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Dimension</w:t>
            </w:r>
          </w:p>
        </w:tc>
        <w:tc>
          <w:tcPr>
            <w:shd w:fill="1F3864" w:color="auto"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Score</w:t>
            </w:r>
          </w:p>
        </w:tc>
        <w:tc>
          <w:tcPr>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Rationale</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Signal Strength</w:t>
            </w:r>
          </w:p>
        </w:tc>
        <w:tc>
          <w:tcPr>
            <w:tcMar>
              <w:top w:type="dxa" w:w="80"/>
              <w:left w:type="dxa" w:w="120"/>
              <w:bottom w:type="dxa" w:w="80"/>
              <w:right w:type="dxa" w:w="120"/>
            </w:tcMar>
          </w:tcPr>
          <w:p>
            <w:pPr>
              <w:jc w:val="center"/>
            </w:pPr>
            <w:r>
              <w:rPr>
                <w:rFonts w:ascii="Calibri" w:cs="Calibri" w:eastAsia="Calibri" w:hAnsi="Calibri"/>
                <w:b/>
                <w:bCs/>
                <w:color w:val="2E7D32"/>
                <w:sz w:val="20"/>
                <w:szCs w:val="20"/>
              </w:rPr>
              <w:t xml:space="preserve">5.00</w:t>
            </w:r>
          </w:p>
        </w:tc>
        <w:tc>
          <w:tcPr>
            <w:tcMar>
              <w:top w:type="dxa" w:w="80"/>
              <w:left w:type="dxa" w:w="120"/>
              <w:bottom w:type="dxa" w:w="80"/>
              <w:right w:type="dxa" w:w="120"/>
            </w:tcMar>
          </w:tcPr>
          <w:p>
            <w:pPr>
              <w:jc w:val="left"/>
            </w:pPr>
            <w:r>
              <w:rPr>
                <w:rFonts w:ascii="Calibri" w:cs="Calibri" w:eastAsia="Calibri" w:hAnsi="Calibri"/>
                <w:sz w:val="20"/>
                <w:szCs w:val="20"/>
              </w:rPr>
              <w:t xml:space="preserve">BTD + Priority Review + no AdCom = top-decile regulatory signal stack</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Catalyst Clarity</w:t>
            </w:r>
          </w:p>
        </w:tc>
        <w:tc>
          <w:tcPr>
            <w:shd w:fill="F2F5F9" w:color="auto" w:val="clear"/>
            <w:tcMar>
              <w:top w:type="dxa" w:w="80"/>
              <w:left w:type="dxa" w:w="120"/>
              <w:bottom w:type="dxa" w:w="80"/>
              <w:right w:type="dxa" w:w="120"/>
            </w:tcMar>
          </w:tcPr>
          <w:p>
            <w:pPr>
              <w:jc w:val="center"/>
            </w:pPr>
            <w:r>
              <w:rPr>
                <w:rFonts w:ascii="Calibri" w:cs="Calibri" w:eastAsia="Calibri" w:hAnsi="Calibri"/>
                <w:b/>
                <w:bCs/>
                <w:color w:val="2E7D32"/>
                <w:sz w:val="20"/>
                <w:szCs w:val="20"/>
              </w:rPr>
              <w:t xml:space="preserve">5.00</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Fixed PDUFA, binary outcome, no ambiguity</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Info Asymmetry</w:t>
            </w:r>
          </w:p>
        </w:tc>
        <w:tc>
          <w:tcPr>
            <w:tcMar>
              <w:top w:type="dxa" w:w="80"/>
              <w:left w:type="dxa" w:w="120"/>
              <w:bottom w:type="dxa" w:w="80"/>
              <w:right w:type="dxa" w:w="120"/>
            </w:tcMar>
          </w:tcPr>
          <w:p>
            <w:pPr>
              <w:jc w:val="center"/>
            </w:pPr>
            <w:r>
              <w:rPr>
                <w:rFonts w:ascii="Calibri" w:cs="Calibri" w:eastAsia="Calibri" w:hAnsi="Calibri"/>
                <w:sz w:val="20"/>
                <w:szCs w:val="20"/>
              </w:rPr>
              <w:t xml:space="preserve">4.00</w:t>
            </w:r>
          </w:p>
        </w:tc>
        <w:tc>
          <w:tcPr>
            <w:tcMar>
              <w:top w:type="dxa" w:w="80"/>
              <w:left w:type="dxa" w:w="120"/>
              <w:bottom w:type="dxa" w:w="80"/>
              <w:right w:type="dxa" w:w="120"/>
            </w:tcMar>
          </w:tcPr>
          <w:p>
            <w:pPr>
              <w:jc w:val="left"/>
            </w:pPr>
            <w:r>
              <w:rPr>
                <w:rFonts w:ascii="Calibri" w:cs="Calibri" w:eastAsia="Calibri" w:hAnsi="Calibri"/>
                <w:sz w:val="20"/>
                <w:szCs w:val="20"/>
              </w:rPr>
              <w:t xml:space="preserve">Market anchored on ADVANCE-2 headline, under-weighting ACCORD data</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Risk/Reward</w:t>
            </w:r>
          </w:p>
        </w:tc>
        <w:tc>
          <w:tcPr>
            <w:shd w:fill="F2F5F9" w:color="auto" w:val="clear"/>
            <w:tcMar>
              <w:top w:type="dxa" w:w="80"/>
              <w:left w:type="dxa" w:w="120"/>
              <w:bottom w:type="dxa" w:w="80"/>
              <w:right w:type="dxa" w:w="120"/>
            </w:tcMar>
          </w:tcPr>
          <w:p>
            <w:pPr>
              <w:jc w:val="center"/>
            </w:pPr>
            <w:r>
              <w:rPr>
                <w:rFonts w:ascii="Calibri" w:cs="Calibri" w:eastAsia="Calibri" w:hAnsi="Calibri"/>
                <w:sz w:val="20"/>
                <w:szCs w:val="20"/>
              </w:rPr>
              <w:t xml:space="preserve">4.50</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Base case +30–40%, bear case −25–35% — favorable skew</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Edge Decay</w:t>
            </w:r>
          </w:p>
        </w:tc>
        <w:tc>
          <w:tcPr>
            <w:tcMar>
              <w:top w:type="dxa" w:w="80"/>
              <w:left w:type="dxa" w:w="120"/>
              <w:bottom w:type="dxa" w:w="80"/>
              <w:right w:type="dxa" w:w="120"/>
            </w:tcMar>
          </w:tcPr>
          <w:p>
            <w:pPr>
              <w:jc w:val="center"/>
            </w:pPr>
            <w:r>
              <w:rPr>
                <w:rFonts w:ascii="Calibri" w:cs="Calibri" w:eastAsia="Calibri" w:hAnsi="Calibri"/>
                <w:sz w:val="20"/>
                <w:szCs w:val="20"/>
              </w:rPr>
              <w:t xml:space="preserve">4.75</w:t>
            </w:r>
          </w:p>
        </w:tc>
        <w:tc>
          <w:tcPr>
            <w:tcMar>
              <w:top w:type="dxa" w:w="80"/>
              <w:left w:type="dxa" w:w="120"/>
              <w:bottom w:type="dxa" w:w="80"/>
              <w:right w:type="dxa" w:w="120"/>
            </w:tcMar>
          </w:tcPr>
          <w:p>
            <w:pPr>
              <w:jc w:val="left"/>
            </w:pPr>
            <w:r>
              <w:rPr>
                <w:rFonts w:ascii="Calibri" w:cs="Calibri" w:eastAsia="Calibri" w:hAnsi="Calibri"/>
                <w:sz w:val="20"/>
                <w:szCs w:val="20"/>
              </w:rPr>
              <w:t xml:space="preserve">17-day window; edge collapses post-PDUFA</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Liquidity</w:t>
            </w:r>
          </w:p>
        </w:tc>
        <w:tc>
          <w:tcPr>
            <w:shd w:fill="F2F5F9" w:color="auto" w:val="clear"/>
            <w:tcMar>
              <w:top w:type="dxa" w:w="80"/>
              <w:left w:type="dxa" w:w="120"/>
              <w:bottom w:type="dxa" w:w="80"/>
              <w:right w:type="dxa" w:w="120"/>
            </w:tcMar>
          </w:tcPr>
          <w:p>
            <w:pPr>
              <w:jc w:val="center"/>
            </w:pPr>
            <w:r>
              <w:rPr>
                <w:rFonts w:ascii="Calibri" w:cs="Calibri" w:eastAsia="Calibri" w:hAnsi="Calibri"/>
                <w:sz w:val="20"/>
                <w:szCs w:val="20"/>
              </w:rPr>
              <w:t xml:space="preserve">4.00</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Mid-cap biotech; good options depth; single-name risk</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Catalyst Timeline</w:t>
            </w:r>
          </w:p>
        </w:tc>
        <w:tc>
          <w:tcPr>
            <w:tcMar>
              <w:top w:type="dxa" w:w="80"/>
              <w:left w:type="dxa" w:w="120"/>
              <w:bottom w:type="dxa" w:w="80"/>
              <w:right w:type="dxa" w:w="120"/>
            </w:tcMar>
          </w:tcPr>
          <w:p>
            <w:pPr>
              <w:jc w:val="center"/>
            </w:pPr>
            <w:r>
              <w:rPr>
                <w:rFonts w:ascii="Calibri" w:cs="Calibri" w:eastAsia="Calibri" w:hAnsi="Calibri"/>
                <w:sz w:val="20"/>
                <w:szCs w:val="20"/>
              </w:rPr>
              <w:t xml:space="preserve">3.50</w:t>
            </w:r>
          </w:p>
        </w:tc>
        <w:tc>
          <w:tcPr>
            <w:tcMar>
              <w:top w:type="dxa" w:w="80"/>
              <w:left w:type="dxa" w:w="120"/>
              <w:bottom w:type="dxa" w:w="80"/>
              <w:right w:type="dxa" w:w="120"/>
            </w:tcMar>
          </w:tcPr>
          <w:p>
            <w:pPr>
              <w:jc w:val="left"/>
            </w:pPr>
            <w:r>
              <w:rPr>
                <w:rFonts w:ascii="Calibri" w:cs="Calibri" w:eastAsia="Calibri" w:hAnsi="Calibri"/>
                <w:sz w:val="20"/>
                <w:szCs w:val="20"/>
              </w:rPr>
              <w:t xml:space="preserve">Tight window slightly penalizes for IV already elevated</w:t>
            </w:r>
          </w:p>
        </w:tc>
      </w:tr>
      <w:tr>
        <w:tc>
          <w:tcPr>
            <w:tcMar>
              <w:top w:type="dxa" w:w="80"/>
              <w:left w:type="dxa" w:w="120"/>
              <w:bottom w:type="dxa" w:w="80"/>
              <w:right w:type="dxa" w:w="120"/>
            </w:tcMar>
          </w:tcPr>
          <w:p>
            <w:pPr>
              <w:jc w:val="left"/>
            </w:pPr>
            <w:r>
              <w:rPr>
                <w:rFonts w:ascii="Calibri" w:cs="Calibri" w:eastAsia="Calibri" w:hAnsi="Calibri"/>
                <w:b/>
                <w:bCs/>
                <w:sz w:val="20"/>
                <w:szCs w:val="20"/>
              </w:rPr>
              <w:t xml:space="preserve">TOTAL</w:t>
            </w:r>
          </w:p>
        </w:tc>
        <w:tc>
          <w:tcPr>
            <w:tcMar>
              <w:top w:type="dxa" w:w="80"/>
              <w:left w:type="dxa" w:w="120"/>
              <w:bottom w:type="dxa" w:w="80"/>
              <w:right w:type="dxa" w:w="120"/>
            </w:tcMar>
          </w:tcPr>
          <w:p>
            <w:pPr>
              <w:jc w:val="center"/>
            </w:pPr>
            <w:r>
              <w:rPr>
                <w:rFonts w:ascii="Calibri" w:cs="Calibri" w:eastAsia="Calibri" w:hAnsi="Calibri"/>
                <w:b/>
                <w:bCs/>
                <w:color w:val="2E7D32"/>
                <w:sz w:val="20"/>
                <w:szCs w:val="20"/>
              </w:rPr>
              <w:t xml:space="preserve">30.75 / 35</w:t>
            </w:r>
          </w:p>
        </w:tc>
        <w:tc>
          <w:tcPr>
            <w:tcMar>
              <w:top w:type="dxa" w:w="80"/>
              <w:left w:type="dxa" w:w="120"/>
              <w:bottom w:type="dxa" w:w="80"/>
              <w:right w:type="dxa" w:w="120"/>
            </w:tcMar>
          </w:tcPr>
          <w:p>
            <w:pPr>
              <w:jc w:val="left"/>
            </w:pPr>
            <w:r>
              <w:rPr>
                <w:rFonts w:ascii="Calibri" w:cs="Calibri" w:eastAsia="Calibri" w:hAnsi="Calibri"/>
                <w:b/>
                <w:bCs/>
                <w:color w:val="2E7D32"/>
                <w:sz w:val="20"/>
                <w:szCs w:val="20"/>
              </w:rPr>
              <w:t xml:space="preserve">BUY — high conviction</w:t>
            </w:r>
          </w:p>
        </w:tc>
      </w:tr>
    </w:tbl>
    <w:p>
      <w:r>
        <w:br w:type="page"/>
      </w:r>
    </w:p>
    <w:p>
      <w:pPr>
        <w:pBdr>
          <w:bottom w:val="single" w:color="1F3864" w:sz="12"/>
        </w:pBdr>
        <w:spacing w:after="180" w:before="360"/>
      </w:pPr>
      <w:r>
        <w:rPr>
          <w:rFonts w:ascii="Calibri" w:cs="Calibri" w:eastAsia="Calibri" w:hAnsi="Calibri"/>
          <w:b/>
          <w:bCs/>
          <w:color w:val="1F3864"/>
          <w:sz w:val="36"/>
          <w:szCs w:val="36"/>
        </w:rPr>
        <w:t xml:space="preserve">7. What the Market Sees vs. What We See</w:t>
      </w:r>
    </w:p>
    <w:tbl>
      <w:tblPr>
        <w:tblW w:type="dxa" w:w="10800"/>
        <w:tblBorders>
          <w:top w:val="single" w:color="1F3864" w:sz="12"/>
          <w:left w:val="single" w:color="DDDDDD" w:sz="4"/>
          <w:bottom w:val="single" w:color="1F3864" w:sz="12"/>
          <w:right w:val="single" w:color="DDDDDD" w:sz="4"/>
          <w:insideH w:val="single" w:color="DDDDDD" w:sz="4"/>
          <w:insideV w:val="single" w:color="DDDDDD" w:sz="4"/>
        </w:tblBorders>
      </w:tblPr>
      <w:tblGrid>
        <w:gridCol w:w="100"/>
        <w:gridCol w:w="100"/>
        <w:gridCol w:w="100"/>
      </w:tblGrid>
      <w:tr>
        <w:trPr>
          <w:tblHeader/>
        </w:trPr>
        <w:tc>
          <w:tcPr>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The Question</w:t>
            </w:r>
          </w:p>
        </w:tc>
        <w:tc>
          <w:tcPr>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Market's Interpretation</w:t>
            </w:r>
          </w:p>
        </w:tc>
        <w:tc>
          <w:tcPr>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Our Read</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ADVANCE-2 CMAI miss</w:t>
            </w:r>
          </w:p>
        </w:tc>
        <w:tc>
          <w:tcPr>
            <w:tcMar>
              <w:top w:type="dxa" w:w="80"/>
              <w:left w:type="dxa" w:w="120"/>
              <w:bottom w:type="dxa" w:w="80"/>
              <w:right w:type="dxa" w:w="120"/>
            </w:tcMar>
          </w:tcPr>
          <w:p>
            <w:pPr>
              <w:jc w:val="left"/>
            </w:pPr>
            <w:r>
              <w:rPr>
                <w:rFonts w:ascii="Calibri" w:cs="Calibri" w:eastAsia="Calibri" w:hAnsi="Calibri"/>
                <w:sz w:val="20"/>
                <w:szCs w:val="20"/>
              </w:rPr>
              <w:t xml:space="preserve">Drug didn't work</w:t>
            </w:r>
          </w:p>
        </w:tc>
        <w:tc>
          <w:tcPr>
            <w:tcMar>
              <w:top w:type="dxa" w:w="80"/>
              <w:left w:type="dxa" w:w="120"/>
              <w:bottom w:type="dxa" w:w="80"/>
              <w:right w:type="dxa" w:w="120"/>
            </w:tcMar>
          </w:tcPr>
          <w:p>
            <w:pPr>
              <w:jc w:val="left"/>
            </w:pPr>
            <w:r>
              <w:rPr>
                <w:rFonts w:ascii="Calibri" w:cs="Calibri" w:eastAsia="Calibri" w:hAnsi="Calibri"/>
                <w:sz w:val="20"/>
                <w:szCs w:val="20"/>
              </w:rPr>
              <w:t xml:space="preserve">5-wk trial with high placebo response; CGI-S hit at P=.004</w:t>
            </w:r>
          </w:p>
        </w:tc>
      </w:tr>
      <w:tr>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FDA posture</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Uncertain</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BTD + Priority Review + no AdCom = strong</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Market size</w:t>
            </w:r>
          </w:p>
        </w:tc>
        <w:tc>
          <w:tcPr>
            <w:tcMar>
              <w:top w:type="dxa" w:w="80"/>
              <w:left w:type="dxa" w:w="120"/>
              <w:bottom w:type="dxa" w:w="80"/>
              <w:right w:type="dxa" w:w="120"/>
            </w:tcMar>
          </w:tcPr>
          <w:p>
            <w:pPr>
              <w:jc w:val="left"/>
            </w:pPr>
            <w:r>
              <w:rPr>
                <w:rFonts w:ascii="Calibri" w:cs="Calibri" w:eastAsia="Calibri" w:hAnsi="Calibri"/>
                <w:sz w:val="20"/>
                <w:szCs w:val="20"/>
              </w:rPr>
              <w:t xml:space="preserve">~3.25M addressable</w:t>
            </w:r>
          </w:p>
        </w:tc>
        <w:tc>
          <w:tcPr>
            <w:tcMar>
              <w:top w:type="dxa" w:w="80"/>
              <w:left w:type="dxa" w:w="120"/>
              <w:bottom w:type="dxa" w:w="80"/>
              <w:right w:type="dxa" w:w="120"/>
            </w:tcMar>
          </w:tcPr>
          <w:p>
            <w:pPr>
              <w:jc w:val="left"/>
            </w:pPr>
            <w:r>
              <w:rPr>
                <w:rFonts w:ascii="Calibri" w:cs="Calibri" w:eastAsia="Calibri" w:hAnsi="Calibri"/>
                <w:sz w:val="20"/>
                <w:szCs w:val="20"/>
              </w:rPr>
              <w:t xml:space="preserve">~5.5M addressable (76% prevalence data)</w:t>
            </w:r>
          </w:p>
        </w:tc>
      </w:tr>
      <w:tr>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Competitive moat</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Rexulti already approved</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Rexulti has Boxed Warning; AXS-05 is first non-antipsychotic</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Launch risk</w:t>
            </w:r>
          </w:p>
        </w:tc>
        <w:tc>
          <w:tcPr>
            <w:tcMar>
              <w:top w:type="dxa" w:w="80"/>
              <w:left w:type="dxa" w:w="120"/>
              <w:bottom w:type="dxa" w:w="80"/>
              <w:right w:type="dxa" w:w="120"/>
            </w:tcMar>
          </w:tcPr>
          <w:p>
            <w:pPr>
              <w:jc w:val="left"/>
            </w:pPr>
            <w:r>
              <w:rPr>
                <w:rFonts w:ascii="Calibri" w:cs="Calibri" w:eastAsia="Calibri" w:hAnsi="Calibri"/>
                <w:sz w:val="20"/>
                <w:szCs w:val="20"/>
              </w:rPr>
              <w:t xml:space="preserve">Execution uncertainty</w:t>
            </w:r>
          </w:p>
        </w:tc>
        <w:tc>
          <w:tcPr>
            <w:tcMar>
              <w:top w:type="dxa" w:w="80"/>
              <w:left w:type="dxa" w:w="120"/>
              <w:bottom w:type="dxa" w:w="80"/>
              <w:right w:type="dxa" w:w="120"/>
            </w:tcMar>
          </w:tcPr>
          <w:p>
            <w:pPr>
              <w:jc w:val="left"/>
            </w:pPr>
            <w:r>
              <w:rPr>
                <w:rFonts w:ascii="Calibri" w:cs="Calibri" w:eastAsia="Calibri" w:hAnsi="Calibri"/>
                <w:sz w:val="20"/>
                <w:szCs w:val="20"/>
              </w:rPr>
              <w:t xml:space="preserve">Label expansion on existing Auvelity footprint</w:t>
            </w:r>
          </w:p>
        </w:tc>
      </w:tr>
      <w:tr>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Valuation</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Priced for uncertainty (~$170)</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25–35% below consensus PT $223–$226</w:t>
            </w:r>
          </w:p>
        </w:tc>
      </w:tr>
    </w:tbl>
    <w:p>
      <w:pPr>
        <w:spacing w:after="120" w:before="240"/>
      </w:pPr>
      <w:r>
        <w:rPr>
          <w:rFonts w:ascii="Calibri" w:cs="Calibri" w:eastAsia="Calibri" w:hAnsi="Calibri"/>
          <w:b/>
          <w:bCs/>
          <w:color w:val="2B5797"/>
          <w:sz w:val="28"/>
          <w:szCs w:val="28"/>
        </w:rPr>
        <w:t xml:space="preserve">The Narrative Arbitrage</w:t>
      </w:r>
    </w:p>
    <w:p>
      <w:pPr>
        <w:spacing w:after="140" w:line="300"/>
        <w:jc w:val="left"/>
      </w:pPr>
      <w:r>
        <w:rPr>
          <w:rFonts w:ascii="Calibri" w:cs="Calibri" w:eastAsia="Calibri" w:hAnsi="Calibri"/>
          <w:sz w:val="22"/>
          <w:szCs w:val="22"/>
        </w:rPr>
        <w:t xml:space="preserve">The gap between </w:t>
      </w:r>
      <w:r>
        <w:rPr>
          <w:rFonts w:ascii="Calibri" w:cs="Calibri" w:eastAsia="Calibri" w:hAnsi="Calibri"/>
          <w:b/>
          <w:bCs/>
          <w:sz w:val="22"/>
          <w:szCs w:val="22"/>
        </w:rPr>
        <w:t xml:space="preserve">$170 current</w:t>
      </w:r>
      <w:r>
        <w:rPr>
          <w:rFonts w:ascii="Calibri" w:cs="Calibri" w:eastAsia="Calibri" w:hAnsi="Calibri"/>
          <w:sz w:val="22"/>
          <w:szCs w:val="22"/>
        </w:rPr>
        <w:t xml:space="preserve"> and </w:t>
      </w:r>
      <w:r>
        <w:rPr>
          <w:rFonts w:ascii="Calibri" w:cs="Calibri" w:eastAsia="Calibri" w:hAnsi="Calibri"/>
          <w:b/>
          <w:bCs/>
          <w:sz w:val="22"/>
          <w:szCs w:val="22"/>
        </w:rPr>
        <w:t xml:space="preserve">$223+ consensus</w:t>
      </w:r>
      <w:r>
        <w:rPr>
          <w:rFonts w:ascii="Calibri" w:cs="Calibri" w:eastAsia="Calibri" w:hAnsi="Calibri"/>
          <w:sz w:val="22"/>
          <w:szCs w:val="22"/>
        </w:rPr>
        <w:t xml:space="preserve"> is not a fundamentals gap. It is a </w:t>
      </w:r>
      <w:r>
        <w:rPr>
          <w:rFonts w:ascii="Calibri" w:cs="Calibri" w:eastAsia="Calibri" w:hAnsi="Calibri"/>
          <w:b/>
          <w:bCs/>
          <w:sz w:val="22"/>
          <w:szCs w:val="22"/>
        </w:rPr>
        <w:t xml:space="preserve">narrative gap</w:t>
      </w:r>
      <w:r>
        <w:rPr>
          <w:rFonts w:ascii="Calibri" w:cs="Calibri" w:eastAsia="Calibri" w:hAnsi="Calibri"/>
          <w:sz w:val="22"/>
          <w:szCs w:val="22"/>
        </w:rPr>
        <w:t xml:space="preserve">. ADVANCE-2 was framed as a failure in July 2024; that frame hardened. ACCORD positive readouts corrected the scientific record but did not fully correct the stock. The PDUFA is the forcing function that collapses narrative into decision.</w:t>
      </w:r>
    </w:p>
    <w:p>
      <w:r>
        <w:br w:type="page"/>
      </w:r>
    </w:p>
    <w:p>
      <w:pPr>
        <w:pBdr>
          <w:bottom w:val="single" w:color="1F3864" w:sz="12"/>
        </w:pBdr>
        <w:spacing w:after="180" w:before="360"/>
      </w:pPr>
      <w:r>
        <w:rPr>
          <w:rFonts w:ascii="Calibri" w:cs="Calibri" w:eastAsia="Calibri" w:hAnsi="Calibri"/>
          <w:b/>
          <w:bCs/>
          <w:color w:val="1F3864"/>
          <w:sz w:val="36"/>
          <w:szCs w:val="36"/>
        </w:rPr>
        <w:t xml:space="preserve">8. The Risks — What Would Break the Thesis</w:t>
      </w:r>
    </w:p>
    <w:tbl>
      <w:tblPr>
        <w:tblW w:type="dxa" w:w="10800"/>
        <w:tblBorders>
          <w:top w:val="single" w:color="B71C1C" w:sz="6"/>
          <w:left w:val="single" w:color="B71C1C" w:sz="24"/>
          <w:bottom w:val="single" w:color="B71C1C" w:sz="6"/>
          <w:right w:val="single" w:color="DDDDDD" w:sz="6"/>
          <w:insideH w:val="none" w:color="FFFFFF" w:sz="0"/>
          <w:insideV w:val="none" w:color="FFFFFF" w:sz="0"/>
        </w:tblBorders>
      </w:tblPr>
      <w:tblGrid>
        <w:gridCol w:w="100"/>
      </w:tblGrid>
      <w:tr>
        <w:tc>
          <w:tcPr>
            <w:shd w:fill="FDECEA" w:color="auto" w:val="clear"/>
            <w:tcMar>
              <w:top w:type="dxa" w:w="150"/>
              <w:left w:type="dxa" w:w="200"/>
              <w:bottom w:type="dxa" w:w="150"/>
              <w:right w:type="dxa" w:w="150"/>
            </w:tcMar>
          </w:tcPr>
          <w:p>
            <w:pPr>
              <w:spacing w:after="80"/>
            </w:pPr>
            <w:r>
              <w:rPr>
                <w:rFonts w:ascii="Calibri" w:cs="Calibri" w:eastAsia="Calibri" w:hAnsi="Calibri"/>
                <w:b/>
                <w:bCs/>
                <w:color w:val="B71C1C"/>
                <w:sz w:val="22"/>
                <w:szCs w:val="22"/>
              </w:rPr>
              <w:t xml:space="preserve">Kill Condition 1: Complete Response Letter (CRL)</w:t>
            </w:r>
          </w:p>
          <w:p>
            <w:pPr>
              <w:spacing w:after="140" w:line="300"/>
              <w:jc w:val="left"/>
            </w:pPr>
            <w:r>
              <w:rPr>
                <w:rFonts w:ascii="Calibri" w:cs="Calibri" w:eastAsia="Calibri" w:hAnsi="Calibri"/>
                <w:sz w:val="22"/>
                <w:szCs w:val="22"/>
              </w:rPr>
              <w:t xml:space="preserve">An FDA refusal-to-approve at the PDUFA date. Historically happens in ~15–20% of filings with BTD + Priority Review. Stock would likely drop 25–35% to the $115–$135 range. This is the single largest tail risk.</w:t>
            </w:r>
          </w:p>
        </w:tc>
      </w:tr>
    </w:tbl>
    <w:p>
      <w:pPr>
        <w:spacing w:after="140" w:line="300"/>
        <w:jc w:val="left"/>
      </w:pPr>
      <w:r>
        <w:rPr>
          <w:rFonts w:ascii="Calibri" w:cs="Calibri" w:eastAsia="Calibri" w:hAnsi="Calibri"/>
          <w:sz w:val="22"/>
          <w:szCs w:val="22"/>
        </w:rPr>
        <w:t xml:space="preserve"/>
      </w:r>
    </w:p>
    <w:tbl>
      <w:tblPr>
        <w:tblW w:type="dxa" w:w="10800"/>
        <w:tblBorders>
          <w:top w:val="single" w:color="C77700" w:sz="6"/>
          <w:left w:val="single" w:color="C77700" w:sz="24"/>
          <w:bottom w:val="single" w:color="C77700" w:sz="6"/>
          <w:right w:val="single" w:color="DDDDDD" w:sz="6"/>
          <w:insideH w:val="none" w:color="FFFFFF" w:sz="0"/>
          <w:insideV w:val="none" w:color="FFFFFF" w:sz="0"/>
        </w:tblBorders>
      </w:tblPr>
      <w:tblGrid>
        <w:gridCol w:w="100"/>
      </w:tblGrid>
      <w:tr>
        <w:tc>
          <w:tcPr>
            <w:shd w:fill="FFF4E5" w:color="auto" w:val="clear"/>
            <w:tcMar>
              <w:top w:type="dxa" w:w="150"/>
              <w:left w:type="dxa" w:w="200"/>
              <w:bottom w:type="dxa" w:w="150"/>
              <w:right w:type="dxa" w:w="150"/>
            </w:tcMar>
          </w:tcPr>
          <w:p>
            <w:pPr>
              <w:spacing w:after="80"/>
            </w:pPr>
            <w:r>
              <w:rPr>
                <w:rFonts w:ascii="Calibri" w:cs="Calibri" w:eastAsia="Calibri" w:hAnsi="Calibri"/>
                <w:b/>
                <w:bCs/>
                <w:color w:val="C77700"/>
                <w:sz w:val="22"/>
                <w:szCs w:val="22"/>
              </w:rPr>
              <w:t xml:space="preserve">Kill Condition 2: Narrow Label</w:t>
            </w:r>
          </w:p>
          <w:p>
            <w:pPr>
              <w:spacing w:after="140" w:line="300"/>
              <w:jc w:val="left"/>
            </w:pPr>
            <w:r>
              <w:rPr>
                <w:rFonts w:ascii="Calibri" w:cs="Calibri" w:eastAsia="Calibri" w:hAnsi="Calibri"/>
                <w:sz w:val="22"/>
                <w:szCs w:val="22"/>
              </w:rPr>
              <w:t xml:space="preserve">FDA approves but restricts the label (e.g., only to severe agitation, or requires prior Rexulti failure). Shrinks the commercial case by 40–60%. Stock might hold $150–$170 — approval-but-disappointing outcome.</w:t>
            </w:r>
          </w:p>
        </w:tc>
      </w:tr>
    </w:tbl>
    <w:p>
      <w:pPr>
        <w:spacing w:after="140" w:line="300"/>
        <w:jc w:val="left"/>
      </w:pPr>
      <w:r>
        <w:rPr>
          <w:rFonts w:ascii="Calibri" w:cs="Calibri" w:eastAsia="Calibri" w:hAnsi="Calibri"/>
          <w:sz w:val="22"/>
          <w:szCs w:val="22"/>
        </w:rPr>
        <w:t xml:space="preserve"/>
      </w:r>
    </w:p>
    <w:tbl>
      <w:tblPr>
        <w:tblW w:type="dxa" w:w="10800"/>
        <w:tblBorders>
          <w:top w:val="single" w:color="C77700" w:sz="6"/>
          <w:left w:val="single" w:color="C77700" w:sz="24"/>
          <w:bottom w:val="single" w:color="C77700" w:sz="6"/>
          <w:right w:val="single" w:color="DDDDDD" w:sz="6"/>
          <w:insideH w:val="none" w:color="FFFFFF" w:sz="0"/>
          <w:insideV w:val="none" w:color="FFFFFF" w:sz="0"/>
        </w:tblBorders>
      </w:tblPr>
      <w:tblGrid>
        <w:gridCol w:w="100"/>
      </w:tblGrid>
      <w:tr>
        <w:tc>
          <w:tcPr>
            <w:shd w:fill="FFF4E5" w:color="auto" w:val="clear"/>
            <w:tcMar>
              <w:top w:type="dxa" w:w="150"/>
              <w:left w:type="dxa" w:w="200"/>
              <w:bottom w:type="dxa" w:w="150"/>
              <w:right w:type="dxa" w:w="150"/>
            </w:tcMar>
          </w:tcPr>
          <w:p>
            <w:pPr>
              <w:spacing w:after="80"/>
            </w:pPr>
            <w:r>
              <w:rPr>
                <w:rFonts w:ascii="Calibri" w:cs="Calibri" w:eastAsia="Calibri" w:hAnsi="Calibri"/>
                <w:b/>
                <w:bCs/>
                <w:color w:val="C77700"/>
                <w:sz w:val="22"/>
                <w:szCs w:val="22"/>
              </w:rPr>
              <w:t xml:space="preserve">Kill Condition 3: Post-Approval Safety Signal</w:t>
            </w:r>
          </w:p>
          <w:p>
            <w:pPr>
              <w:spacing w:after="140" w:line="300"/>
              <w:jc w:val="left"/>
            </w:pPr>
            <w:r>
              <w:rPr>
                <w:rFonts w:ascii="Calibri" w:cs="Calibri" w:eastAsia="Calibri" w:hAnsi="Calibri"/>
                <w:sz w:val="22"/>
                <w:szCs w:val="22"/>
              </w:rPr>
              <w:t xml:space="preserve">A Boxed Warning requirement (e.g., for seizure risk from bupropion component) would materially compress the competitive advantage over Rexulti. Estimated probability: low (&lt;10%) given ACCORD safety profile — but non-zero.</w:t>
            </w:r>
          </w:p>
        </w:tc>
      </w:tr>
    </w:tbl>
    <w:p>
      <w:pPr>
        <w:spacing w:after="140" w:line="300"/>
        <w:jc w:val="left"/>
      </w:pPr>
      <w:r>
        <w:rPr>
          <w:rFonts w:ascii="Calibri" w:cs="Calibri" w:eastAsia="Calibri" w:hAnsi="Calibri"/>
          <w:sz w:val="22"/>
          <w:szCs w:val="22"/>
        </w:rPr>
        <w:t xml:space="preserve"/>
      </w:r>
    </w:p>
    <w:tbl>
      <w:tblPr>
        <w:tblW w:type="dxa" w:w="10800"/>
        <w:tblBorders>
          <w:top w:val="single" w:color="C77700" w:sz="6"/>
          <w:left w:val="single" w:color="C77700" w:sz="24"/>
          <w:bottom w:val="single" w:color="C77700" w:sz="6"/>
          <w:right w:val="single" w:color="DDDDDD" w:sz="6"/>
          <w:insideH w:val="none" w:color="FFFFFF" w:sz="0"/>
          <w:insideV w:val="none" w:color="FFFFFF" w:sz="0"/>
        </w:tblBorders>
      </w:tblPr>
      <w:tblGrid>
        <w:gridCol w:w="100"/>
      </w:tblGrid>
      <w:tr>
        <w:tc>
          <w:tcPr>
            <w:shd w:fill="FFF4E5" w:color="auto" w:val="clear"/>
            <w:tcMar>
              <w:top w:type="dxa" w:w="150"/>
              <w:left w:type="dxa" w:w="200"/>
              <w:bottom w:type="dxa" w:w="150"/>
              <w:right w:type="dxa" w:w="150"/>
            </w:tcMar>
          </w:tcPr>
          <w:p>
            <w:pPr>
              <w:spacing w:after="80"/>
            </w:pPr>
            <w:r>
              <w:rPr>
                <w:rFonts w:ascii="Calibri" w:cs="Calibri" w:eastAsia="Calibri" w:hAnsi="Calibri"/>
                <w:b/>
                <w:bCs/>
                <w:color w:val="C77700"/>
                <w:sz w:val="22"/>
                <w:szCs w:val="22"/>
              </w:rPr>
              <w:t xml:space="preserve">Kill Condition 4: Launch Execution Failure</w:t>
            </w:r>
          </w:p>
          <w:p>
            <w:pPr>
              <w:spacing w:after="140" w:line="300"/>
              <w:jc w:val="left"/>
            </w:pPr>
            <w:r>
              <w:rPr>
                <w:rFonts w:ascii="Calibri" w:cs="Calibri" w:eastAsia="Calibri" w:hAnsi="Calibri"/>
                <w:sz w:val="22"/>
                <w:szCs w:val="22"/>
              </w:rPr>
              <w:t xml:space="preserve">Despite existing Auvelity infrastructure, AD-agitation prescribers are different (geriatricians, LTC pharmacies). Slow uptake would cap the re-rating. Mitigated by 86% payer coverage and known molecule, but not eliminated.</w:t>
            </w:r>
          </w:p>
        </w:tc>
      </w:tr>
    </w:tbl>
    <w:p>
      <w:pPr>
        <w:spacing w:after="120" w:before="240"/>
      </w:pPr>
      <w:r>
        <w:rPr>
          <w:rFonts w:ascii="Calibri" w:cs="Calibri" w:eastAsia="Calibri" w:hAnsi="Calibri"/>
          <w:b/>
          <w:bCs/>
          <w:color w:val="2B5797"/>
          <w:sz w:val="28"/>
          <w:szCs w:val="28"/>
        </w:rPr>
        <w:t xml:space="preserve">What Would Make Us Change Our Mind</w:t>
      </w:r>
    </w:p>
    <w:p>
      <w:pPr>
        <w:pStyle w:val="ListParagraph"/>
        <w:numPr>
          <w:ilvl w:val="0"/>
          <w:numId w:val="1"/>
        </w:numPr>
        <w:spacing w:after="80" w:line="280"/>
      </w:pPr>
      <w:r>
        <w:rPr>
          <w:rFonts w:ascii="Calibri" w:cs="Calibri" w:eastAsia="Calibri" w:hAnsi="Calibri"/>
          <w:sz w:val="22"/>
          <w:szCs w:val="22"/>
        </w:rPr>
        <w:t xml:space="preserve">FDA posts new AdCom schedule in the next 2 weeks (would signal unresolved agency concerns)</w:t>
      </w:r>
    </w:p>
    <w:p>
      <w:pPr>
        <w:pStyle w:val="ListParagraph"/>
        <w:numPr>
          <w:ilvl w:val="0"/>
          <w:numId w:val="1"/>
        </w:numPr>
        <w:spacing w:after="80" w:line="280"/>
      </w:pPr>
      <w:r>
        <w:rPr>
          <w:rFonts w:ascii="Calibri" w:cs="Calibri" w:eastAsia="Calibri" w:hAnsi="Calibri"/>
          <w:sz w:val="22"/>
          <w:szCs w:val="22"/>
        </w:rPr>
        <w:t xml:space="preserve">Late-breaking safety disclosure from the long-term safety trial</w:t>
      </w:r>
    </w:p>
    <w:p>
      <w:pPr>
        <w:pStyle w:val="ListParagraph"/>
        <w:numPr>
          <w:ilvl w:val="0"/>
          <w:numId w:val="1"/>
        </w:numPr>
        <w:spacing w:after="80" w:line="280"/>
      </w:pPr>
      <w:r>
        <w:rPr>
          <w:rFonts w:ascii="Calibri" w:cs="Calibri" w:eastAsia="Calibri" w:hAnsi="Calibri"/>
          <w:sz w:val="22"/>
          <w:szCs w:val="22"/>
        </w:rPr>
        <w:t xml:space="preserve">Competitor data (new Rexulti post-hoc, or late-stage competitor) that changes the commercial math</w:t>
      </w:r>
    </w:p>
    <w:p>
      <w:pPr>
        <w:pStyle w:val="ListParagraph"/>
        <w:numPr>
          <w:ilvl w:val="0"/>
          <w:numId w:val="1"/>
        </w:numPr>
        <w:spacing w:after="80" w:line="280"/>
      </w:pPr>
      <w:r>
        <w:rPr>
          <w:rFonts w:ascii="Calibri" w:cs="Calibri" w:eastAsia="Calibri" w:hAnsi="Calibri"/>
          <w:sz w:val="22"/>
          <w:szCs w:val="22"/>
        </w:rPr>
        <w:t xml:space="preserve">Material shift in CMS/Medicare coverage guidance for behavioral AD drugs</w:t>
      </w:r>
    </w:p>
    <w:p>
      <w:r>
        <w:br w:type="page"/>
      </w:r>
    </w:p>
    <w:p>
      <w:pPr>
        <w:pBdr>
          <w:bottom w:val="single" w:color="1F3864" w:sz="12"/>
        </w:pBdr>
        <w:spacing w:after="180" w:before="360"/>
      </w:pPr>
      <w:r>
        <w:rPr>
          <w:rFonts w:ascii="Calibri" w:cs="Calibri" w:eastAsia="Calibri" w:hAnsi="Calibri"/>
          <w:b/>
          <w:bCs/>
          <w:color w:val="1F3864"/>
          <w:sz w:val="36"/>
          <w:szCs w:val="36"/>
        </w:rPr>
        <w:t xml:space="preserve">9. Positioning — How to Play It</w:t>
      </w:r>
    </w:p>
    <w:p>
      <w:pPr>
        <w:spacing w:after="120" w:before="240"/>
      </w:pPr>
      <w:r>
        <w:rPr>
          <w:rFonts w:ascii="Calibri" w:cs="Calibri" w:eastAsia="Calibri" w:hAnsi="Calibri"/>
          <w:b/>
          <w:bCs/>
          <w:color w:val="2B5797"/>
          <w:sz w:val="28"/>
          <w:szCs w:val="28"/>
        </w:rPr>
        <w:t xml:space="preserve">The core trade</w:t>
      </w:r>
    </w:p>
    <w:p>
      <w:pPr>
        <w:spacing w:after="140" w:line="300"/>
        <w:jc w:val="left"/>
      </w:pPr>
      <w:r>
        <w:rPr>
          <w:rFonts w:ascii="Calibri" w:cs="Calibri" w:eastAsia="Calibri" w:hAnsi="Calibri"/>
          <w:sz w:val="22"/>
          <w:szCs w:val="22"/>
        </w:rPr>
        <w:t xml:space="preserve">Long AXSM equity into the PDUFA, sized to tolerate the −25 to −35% bear-case drawdown. Entry before IV fully inflates (ideally before T-10). Target exit: at PDUFA or in the first 48 hours post-event on approval news; on CRL, cut immediately.</w:t>
      </w:r>
    </w:p>
    <w:p>
      <w:pPr>
        <w:spacing w:after="120" w:before="240"/>
      </w:pPr>
      <w:r>
        <w:rPr>
          <w:rFonts w:ascii="Calibri" w:cs="Calibri" w:eastAsia="Calibri" w:hAnsi="Calibri"/>
          <w:b/>
          <w:bCs/>
          <w:color w:val="2B5797"/>
          <w:sz w:val="28"/>
          <w:szCs w:val="28"/>
        </w:rPr>
        <w:t xml:space="preserve">The hedged trade</w:t>
      </w:r>
    </w:p>
    <w:p>
      <w:pPr>
        <w:spacing w:after="140" w:line="300"/>
        <w:jc w:val="left"/>
      </w:pPr>
      <w:r>
        <w:rPr>
          <w:rFonts w:ascii="Calibri" w:cs="Calibri" w:eastAsia="Calibri" w:hAnsi="Calibri"/>
          <w:sz w:val="22"/>
          <w:szCs w:val="22"/>
        </w:rPr>
        <w:t xml:space="preserve">Long stock + long OTM puts (strike at $135–$140, expiring 1–2 weeks post-PDUFA) as insurance. Cost of the hedge should be less than 1/3 of the expected approval payoff. This is the </w:t>
      </w:r>
      <w:r>
        <w:rPr>
          <w:rFonts w:ascii="Calibri" w:cs="Calibri" w:eastAsia="Calibri" w:hAnsi="Calibri"/>
          <w:b/>
          <w:bCs/>
          <w:sz w:val="22"/>
          <w:szCs w:val="22"/>
        </w:rPr>
        <w:t xml:space="preserve">asymmetric asymmetry</w:t>
      </w:r>
      <w:r>
        <w:rPr>
          <w:rFonts w:ascii="Calibri" w:cs="Calibri" w:eastAsia="Calibri" w:hAnsi="Calibri"/>
          <w:sz w:val="22"/>
          <w:szCs w:val="22"/>
        </w:rPr>
        <w:t xml:space="preserve"> — capped downside, retained upside.</w:t>
      </w:r>
    </w:p>
    <w:p>
      <w:pPr>
        <w:spacing w:after="120" w:before="240"/>
      </w:pPr>
      <w:r>
        <w:rPr>
          <w:rFonts w:ascii="Calibri" w:cs="Calibri" w:eastAsia="Calibri" w:hAnsi="Calibri"/>
          <w:b/>
          <w:bCs/>
          <w:color w:val="2B5797"/>
          <w:sz w:val="28"/>
          <w:szCs w:val="28"/>
        </w:rPr>
        <w:t xml:space="preserve">The options-only trade</w:t>
      </w:r>
    </w:p>
    <w:p>
      <w:pPr>
        <w:spacing w:after="140" w:line="300"/>
        <w:jc w:val="left"/>
      </w:pPr>
      <w:r>
        <w:rPr>
          <w:rFonts w:ascii="Calibri" w:cs="Calibri" w:eastAsia="Calibri" w:hAnsi="Calibri"/>
          <w:sz w:val="22"/>
          <w:szCs w:val="22"/>
        </w:rPr>
        <w:t xml:space="preserve">Call spread (e.g., $200/$240) expiring late April or early May. Captures the re-rating without outright stock exposure. Higher leverage; higher risk of total loss on a CRL.</w:t>
      </w:r>
    </w:p>
    <w:p>
      <w:pPr>
        <w:spacing w:after="120" w:before="240"/>
      </w:pPr>
      <w:r>
        <w:rPr>
          <w:rFonts w:ascii="Calibri" w:cs="Calibri" w:eastAsia="Calibri" w:hAnsi="Calibri"/>
          <w:b/>
          <w:bCs/>
          <w:color w:val="2B5797"/>
          <w:sz w:val="28"/>
          <w:szCs w:val="28"/>
        </w:rPr>
        <w:t xml:space="preserve">What to avoid</w:t>
      </w:r>
    </w:p>
    <w:p>
      <w:pPr>
        <w:pStyle w:val="ListParagraph"/>
        <w:numPr>
          <w:ilvl w:val="0"/>
          <w:numId w:val="1"/>
        </w:numPr>
        <w:spacing w:after="80" w:line="280"/>
      </w:pPr>
      <w:r>
        <w:rPr>
          <w:rFonts w:ascii="Calibri" w:cs="Calibri" w:eastAsia="Calibri" w:hAnsi="Calibri"/>
          <w:sz w:val="22"/>
          <w:szCs w:val="22"/>
        </w:rPr>
        <w:t xml:space="preserve">Naked short puts — tail risk is too fat</w:t>
      </w:r>
    </w:p>
    <w:p>
      <w:pPr>
        <w:pStyle w:val="ListParagraph"/>
        <w:numPr>
          <w:ilvl w:val="0"/>
          <w:numId w:val="1"/>
        </w:numPr>
        <w:spacing w:after="80" w:line="280"/>
      </w:pPr>
      <w:r>
        <w:rPr>
          <w:rFonts w:ascii="Calibri" w:cs="Calibri" w:eastAsia="Calibri" w:hAnsi="Calibri"/>
          <w:sz w:val="22"/>
          <w:szCs w:val="22"/>
        </w:rPr>
        <w:t xml:space="preserve">Straddles — IV is already elevated; the trade is directional, not volatility-neutral</w:t>
      </w:r>
    </w:p>
    <w:p>
      <w:pPr>
        <w:pStyle w:val="ListParagraph"/>
        <w:numPr>
          <w:ilvl w:val="0"/>
          <w:numId w:val="1"/>
        </w:numPr>
        <w:spacing w:after="80" w:line="280"/>
      </w:pPr>
      <w:r>
        <w:rPr>
          <w:rFonts w:ascii="Calibri" w:cs="Calibri" w:eastAsia="Calibri" w:hAnsi="Calibri"/>
          <w:sz w:val="22"/>
          <w:szCs w:val="22"/>
        </w:rPr>
        <w:t xml:space="preserve">Over-sizing — this is a binary event; the kelly-fraction intuition demands respect for the drawdown case</w:t>
      </w:r>
    </w:p>
    <w:p>
      <w:pPr>
        <w:spacing w:after="120" w:before="240"/>
      </w:pPr>
      <w:r>
        <w:rPr>
          <w:rFonts w:ascii="Calibri" w:cs="Calibri" w:eastAsia="Calibri" w:hAnsi="Calibri"/>
          <w:b/>
          <w:bCs/>
          <w:color w:val="2B5797"/>
          <w:sz w:val="28"/>
          <w:szCs w:val="28"/>
        </w:rPr>
        <w:t xml:space="preserve">Position sizing framework</w:t>
      </w:r>
    </w:p>
    <w:p>
      <w:pPr>
        <w:pStyle w:val="ListParagraph"/>
        <w:numPr>
          <w:ilvl w:val="0"/>
          <w:numId w:val="1"/>
        </w:numPr>
        <w:spacing w:after="80" w:line="280"/>
      </w:pPr>
      <w:r>
        <w:rPr>
          <w:rFonts w:ascii="Calibri" w:cs="Calibri" w:eastAsia="Calibri" w:hAnsi="Calibri"/>
          <w:sz w:val="22"/>
          <w:szCs w:val="22"/>
        </w:rPr>
        <w:t xml:space="preserve">Max loss tolerance: -30% of the allocated position</w:t>
      </w:r>
    </w:p>
    <w:p>
      <w:pPr>
        <w:pStyle w:val="ListParagraph"/>
        <w:numPr>
          <w:ilvl w:val="0"/>
          <w:numId w:val="1"/>
        </w:numPr>
        <w:spacing w:after="80" w:line="280"/>
      </w:pPr>
      <w:r>
        <w:rPr>
          <w:rFonts w:ascii="Calibri" w:cs="Calibri" w:eastAsia="Calibri" w:hAnsi="Calibri"/>
          <w:sz w:val="22"/>
          <w:szCs w:val="22"/>
        </w:rPr>
        <w:t xml:space="preserve">Suggested allocation: 3–5% of risk capital for equity; 0.5–1.5% for options variants</w:t>
      </w:r>
    </w:p>
    <w:p>
      <w:pPr>
        <w:pStyle w:val="ListParagraph"/>
        <w:numPr>
          <w:ilvl w:val="0"/>
          <w:numId w:val="1"/>
        </w:numPr>
        <w:spacing w:after="80" w:line="280"/>
      </w:pPr>
      <w:r>
        <w:rPr>
          <w:rFonts w:ascii="Calibri" w:cs="Calibri" w:eastAsia="Calibri" w:hAnsi="Calibri"/>
          <w:sz w:val="22"/>
          <w:szCs w:val="22"/>
        </w:rPr>
        <w:t xml:space="preserve">Pre-commit exit rules — do not adjust on news sentiment</w:t>
      </w:r>
    </w:p>
    <w:p>
      <w:r>
        <w:br w:type="page"/>
      </w:r>
    </w:p>
    <w:p>
      <w:pPr>
        <w:pBdr>
          <w:bottom w:val="single" w:color="1F3864" w:sz="12"/>
        </w:pBdr>
        <w:spacing w:after="180" w:before="360"/>
      </w:pPr>
      <w:r>
        <w:rPr>
          <w:rFonts w:ascii="Calibri" w:cs="Calibri" w:eastAsia="Calibri" w:hAnsi="Calibri"/>
          <w:b/>
          <w:bCs/>
          <w:color w:val="1F3864"/>
          <w:sz w:val="36"/>
          <w:szCs w:val="36"/>
        </w:rPr>
        <w:t xml:space="preserve">10. The Catalyst Calendar</w:t>
      </w:r>
    </w:p>
    <w:tbl>
      <w:tblPr>
        <w:tblW w:type="dxa" w:w="10800"/>
        <w:tblBorders>
          <w:top w:val="single" w:color="1F3864" w:sz="12"/>
          <w:left w:val="single" w:color="DDDDDD" w:sz="4"/>
          <w:bottom w:val="single" w:color="1F3864" w:sz="12"/>
          <w:right w:val="single" w:color="DDDDDD" w:sz="4"/>
          <w:insideH w:val="single" w:color="DDDDDD" w:sz="4"/>
          <w:insideV w:val="single" w:color="DDDDDD" w:sz="4"/>
        </w:tblBorders>
      </w:tblPr>
      <w:tblGrid>
        <w:gridCol w:w="100"/>
        <w:gridCol w:w="100"/>
        <w:gridCol w:w="100"/>
      </w:tblGrid>
      <w:tr>
        <w:trPr>
          <w:tblHeader/>
        </w:trPr>
        <w:tc>
          <w:tcPr>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Date</w:t>
            </w:r>
          </w:p>
        </w:tc>
        <w:tc>
          <w:tcPr>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Event</w:t>
            </w:r>
          </w:p>
        </w:tc>
        <w:tc>
          <w:tcPr>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to Watch</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Apr 13, 2026 (today)</w:t>
            </w:r>
          </w:p>
        </w:tc>
        <w:tc>
          <w:tcPr>
            <w:tcMar>
              <w:top w:type="dxa" w:w="80"/>
              <w:left w:type="dxa" w:w="120"/>
              <w:bottom w:type="dxa" w:w="80"/>
              <w:right w:type="dxa" w:w="120"/>
            </w:tcMar>
          </w:tcPr>
          <w:p>
            <w:pPr>
              <w:jc w:val="left"/>
            </w:pPr>
            <w:r>
              <w:rPr>
                <w:rFonts w:ascii="Calibri" w:cs="Calibri" w:eastAsia="Calibri" w:hAnsi="Calibri"/>
                <w:sz w:val="20"/>
                <w:szCs w:val="20"/>
              </w:rPr>
              <w:t xml:space="preserve">Thesis established</w:t>
            </w:r>
          </w:p>
        </w:tc>
        <w:tc>
          <w:tcPr>
            <w:tcMar>
              <w:top w:type="dxa" w:w="80"/>
              <w:left w:type="dxa" w:w="120"/>
              <w:bottom w:type="dxa" w:w="80"/>
              <w:right w:type="dxa" w:w="120"/>
            </w:tcMar>
          </w:tcPr>
          <w:p>
            <w:pPr>
              <w:jc w:val="left"/>
            </w:pPr>
            <w:r>
              <w:rPr>
                <w:rFonts w:ascii="Calibri" w:cs="Calibri" w:eastAsia="Calibri" w:hAnsi="Calibri"/>
                <w:sz w:val="20"/>
                <w:szCs w:val="20"/>
              </w:rPr>
              <w:t xml:space="preserve">Entry window open</w:t>
            </w:r>
          </w:p>
        </w:tc>
      </w:tr>
      <w:tr>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Apr 14–22</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IV inflation period</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Monitor options chain; position core</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Apr 23–29</w:t>
            </w:r>
          </w:p>
        </w:tc>
        <w:tc>
          <w:tcPr>
            <w:tcMar>
              <w:top w:type="dxa" w:w="80"/>
              <w:left w:type="dxa" w:w="120"/>
              <w:bottom w:type="dxa" w:w="80"/>
              <w:right w:type="dxa" w:w="120"/>
            </w:tcMar>
          </w:tcPr>
          <w:p>
            <w:pPr>
              <w:jc w:val="left"/>
            </w:pPr>
            <w:r>
              <w:rPr>
                <w:rFonts w:ascii="Calibri" w:cs="Calibri" w:eastAsia="Calibri" w:hAnsi="Calibri"/>
                <w:sz w:val="20"/>
                <w:szCs w:val="20"/>
              </w:rPr>
              <w:t xml:space="preserve">Final pre-PDUFA window</w:t>
            </w:r>
          </w:p>
        </w:tc>
        <w:tc>
          <w:tcPr>
            <w:tcMar>
              <w:top w:type="dxa" w:w="80"/>
              <w:left w:type="dxa" w:w="120"/>
              <w:bottom w:type="dxa" w:w="80"/>
              <w:right w:type="dxa" w:w="120"/>
            </w:tcMar>
          </w:tcPr>
          <w:p>
            <w:pPr>
              <w:jc w:val="left"/>
            </w:pPr>
            <w:r>
              <w:rPr>
                <w:rFonts w:ascii="Calibri" w:cs="Calibri" w:eastAsia="Calibri" w:hAnsi="Calibri"/>
                <w:sz w:val="20"/>
                <w:szCs w:val="20"/>
              </w:rPr>
              <w:t xml:space="preserve">Any FDA disclosure = re-evaluate immediately</w:t>
            </w:r>
          </w:p>
        </w:tc>
      </w:tr>
      <w:tr>
        <w:tc>
          <w:tcPr>
            <w:shd w:fill="FDECEA" w:color="auto" w:val="clear"/>
            <w:tcMar>
              <w:top w:type="dxa" w:w="80"/>
              <w:left w:type="dxa" w:w="120"/>
              <w:bottom w:type="dxa" w:w="80"/>
              <w:right w:type="dxa" w:w="120"/>
            </w:tcMar>
          </w:tcPr>
          <w:p>
            <w:pPr>
              <w:jc w:val="left"/>
            </w:pPr>
            <w:r>
              <w:rPr>
                <w:rFonts w:ascii="Calibri" w:cs="Calibri" w:eastAsia="Calibri" w:hAnsi="Calibri"/>
                <w:b/>
                <w:bCs/>
                <w:color w:val="B71C1C"/>
                <w:sz w:val="20"/>
                <w:szCs w:val="20"/>
              </w:rPr>
              <w:t xml:space="preserve">Apr 30, 2026</w:t>
            </w:r>
          </w:p>
        </w:tc>
        <w:tc>
          <w:tcPr>
            <w:shd w:fill="FDECEA" w:color="auto" w:val="clear"/>
            <w:tcMar>
              <w:top w:type="dxa" w:w="80"/>
              <w:left w:type="dxa" w:w="120"/>
              <w:bottom w:type="dxa" w:w="80"/>
              <w:right w:type="dxa" w:w="120"/>
            </w:tcMar>
          </w:tcPr>
          <w:p>
            <w:pPr>
              <w:jc w:val="left"/>
            </w:pPr>
            <w:r>
              <w:rPr>
                <w:rFonts w:ascii="Calibri" w:cs="Calibri" w:eastAsia="Calibri" w:hAnsi="Calibri"/>
                <w:b/>
                <w:bCs/>
                <w:color w:val="B71C1C"/>
                <w:sz w:val="20"/>
                <w:szCs w:val="20"/>
              </w:rPr>
              <w:t xml:space="preserve">PDUFA DECISION</w:t>
            </w:r>
          </w:p>
        </w:tc>
        <w:tc>
          <w:tcPr>
            <w:shd w:fill="FDECEA" w:color="auto" w:val="clear"/>
            <w:tcMar>
              <w:top w:type="dxa" w:w="80"/>
              <w:left w:type="dxa" w:w="120"/>
              <w:bottom w:type="dxa" w:w="80"/>
              <w:right w:type="dxa" w:w="120"/>
            </w:tcMar>
          </w:tcPr>
          <w:p>
            <w:pPr>
              <w:jc w:val="left"/>
            </w:pPr>
            <w:r>
              <w:rPr>
                <w:rFonts w:ascii="Calibri" w:cs="Calibri" w:eastAsia="Calibri" w:hAnsi="Calibri"/>
                <w:b/>
                <w:bCs/>
                <w:color w:val="B71C1C"/>
                <w:sz w:val="20"/>
                <w:szCs w:val="20"/>
              </w:rPr>
              <w:t xml:space="preserve">Binary event — execute exit plan</w:t>
            </w:r>
          </w:p>
        </w:tc>
      </w:tr>
      <w:tr>
        <w:tc>
          <w:tcPr>
            <w:tcMar>
              <w:top w:type="dxa" w:w="80"/>
              <w:left w:type="dxa" w:w="120"/>
              <w:bottom w:type="dxa" w:w="80"/>
              <w:right w:type="dxa" w:w="120"/>
            </w:tcMar>
          </w:tcPr>
          <w:p>
            <w:pPr>
              <w:jc w:val="left"/>
            </w:pPr>
            <w:r>
              <w:rPr>
                <w:rFonts w:ascii="Calibri" w:cs="Calibri" w:eastAsia="Calibri" w:hAnsi="Calibri"/>
                <w:sz w:val="20"/>
                <w:szCs w:val="20"/>
              </w:rPr>
              <w:t xml:space="preserve">May 1–7</w:t>
            </w:r>
          </w:p>
        </w:tc>
        <w:tc>
          <w:tcPr>
            <w:tcMar>
              <w:top w:type="dxa" w:w="80"/>
              <w:left w:type="dxa" w:w="120"/>
              <w:bottom w:type="dxa" w:w="80"/>
              <w:right w:type="dxa" w:w="120"/>
            </w:tcMar>
          </w:tcPr>
          <w:p>
            <w:pPr>
              <w:jc w:val="left"/>
            </w:pPr>
            <w:r>
              <w:rPr>
                <w:rFonts w:ascii="Calibri" w:cs="Calibri" w:eastAsia="Calibri" w:hAnsi="Calibri"/>
                <w:sz w:val="20"/>
                <w:szCs w:val="20"/>
              </w:rPr>
              <w:t xml:space="preserve">Post-event re-rate</w:t>
            </w:r>
          </w:p>
        </w:tc>
        <w:tc>
          <w:tcPr>
            <w:tcMar>
              <w:top w:type="dxa" w:w="80"/>
              <w:left w:type="dxa" w:w="120"/>
              <w:bottom w:type="dxa" w:w="80"/>
              <w:right w:type="dxa" w:w="120"/>
            </w:tcMar>
          </w:tcPr>
          <w:p>
            <w:pPr>
              <w:jc w:val="left"/>
            </w:pPr>
            <w:r>
              <w:rPr>
                <w:rFonts w:ascii="Calibri" w:cs="Calibri" w:eastAsia="Calibri" w:hAnsi="Calibri"/>
                <w:sz w:val="20"/>
                <w:szCs w:val="20"/>
              </w:rPr>
              <w:t xml:space="preserve">Confirm label scope; analyst PT revisions</w:t>
            </w:r>
          </w:p>
        </w:tc>
      </w:tr>
      <w:tr>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Q3 2026</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First prescription data</w:t>
            </w:r>
          </w:p>
        </w:tc>
        <w:tc>
          <w:tcPr>
            <w:shd w:fill="F2F5F9" w:color="auto" w:val="clear"/>
            <w:tcMar>
              <w:top w:type="dxa" w:w="80"/>
              <w:left w:type="dxa" w:w="120"/>
              <w:bottom w:type="dxa" w:w="80"/>
              <w:right w:type="dxa" w:w="120"/>
            </w:tcMar>
          </w:tcPr>
          <w:p>
            <w:pPr>
              <w:jc w:val="left"/>
            </w:pPr>
            <w:r>
              <w:rPr>
                <w:rFonts w:ascii="Calibri" w:cs="Calibri" w:eastAsia="Calibri" w:hAnsi="Calibri"/>
                <w:sz w:val="20"/>
                <w:szCs w:val="20"/>
              </w:rPr>
              <w:t xml:space="preserve">Uptake signal; long-term thesis decision</w:t>
            </w:r>
          </w:p>
        </w:tc>
      </w:tr>
    </w:tbl>
    <w:p>
      <w:r>
        <w:br w:type="page"/>
      </w:r>
    </w:p>
    <w:p>
      <w:pPr>
        <w:pBdr>
          <w:bottom w:val="single" w:color="1F3864" w:sz="12"/>
        </w:pBdr>
        <w:spacing w:after="180" w:before="360"/>
      </w:pPr>
      <w:r>
        <w:rPr>
          <w:rFonts w:ascii="Calibri" w:cs="Calibri" w:eastAsia="Calibri" w:hAnsi="Calibri"/>
          <w:b/>
          <w:bCs/>
          <w:color w:val="1F3864"/>
          <w:sz w:val="36"/>
          <w:szCs w:val="36"/>
        </w:rPr>
        <w:t xml:space="preserve">11. The Final Verdict</w:t>
      </w:r>
    </w:p>
    <w:tbl>
      <w:tblPr>
        <w:tblW w:type="dxa" w:w="10800"/>
        <w:tblBorders>
          <w:top w:val="single" w:color="2E7D32" w:sz="6"/>
          <w:left w:val="single" w:color="2E7D32" w:sz="24"/>
          <w:bottom w:val="single" w:color="2E7D32" w:sz="6"/>
          <w:right w:val="single" w:color="DDDDDD" w:sz="6"/>
          <w:insideH w:val="none" w:color="FFFFFF" w:sz="0"/>
          <w:insideV w:val="none" w:color="FFFFFF" w:sz="0"/>
        </w:tblBorders>
      </w:tblPr>
      <w:tblGrid>
        <w:gridCol w:w="100"/>
      </w:tblGrid>
      <w:tr>
        <w:tc>
          <w:tcPr>
            <w:shd w:fill="E8F5E9" w:color="auto" w:val="clear"/>
            <w:tcMar>
              <w:top w:type="dxa" w:w="150"/>
              <w:left w:type="dxa" w:w="200"/>
              <w:bottom w:type="dxa" w:w="150"/>
              <w:right w:type="dxa" w:w="150"/>
            </w:tcMar>
          </w:tcPr>
          <w:p>
            <w:pPr>
              <w:spacing w:after="80"/>
            </w:pPr>
            <w:r>
              <w:rPr>
                <w:rFonts w:ascii="Calibri" w:cs="Calibri" w:eastAsia="Calibri" w:hAnsi="Calibri"/>
                <w:b/>
                <w:bCs/>
                <w:color w:val="2E7D32"/>
                <w:sz w:val="22"/>
                <w:szCs w:val="22"/>
              </w:rPr>
              <w:t xml:space="preserve">BUY — High Conviction</w:t>
            </w:r>
          </w:p>
          <w:p>
            <w:pPr>
              <w:spacing w:after="140" w:line="300"/>
              <w:jc w:val="left"/>
            </w:pPr>
            <w:r>
              <w:rPr>
                <w:rFonts w:ascii="Calibri" w:cs="Calibri" w:eastAsia="Calibri" w:hAnsi="Calibri"/>
                <w:b/>
                <w:bCs/>
                <w:sz w:val="22"/>
                <w:szCs w:val="22"/>
              </w:rPr>
              <w:t xml:space="preserve">Score: </w:t>
            </w:r>
            <w:r>
              <w:rPr>
                <w:rFonts w:ascii="Calibri" w:cs="Calibri" w:eastAsia="Calibri" w:hAnsi="Calibri"/>
                <w:sz w:val="22"/>
                <w:szCs w:val="22"/>
              </w:rPr>
              <w:t xml:space="preserve">30.75 / 35 (BUY threshold: 28; high-conviction: 30)</w:t>
            </w:r>
          </w:p>
          <w:p>
            <w:pPr>
              <w:spacing w:after="140" w:line="300"/>
              <w:jc w:val="left"/>
            </w:pPr>
            <w:r>
              <w:rPr>
                <w:rFonts w:ascii="Calibri" w:cs="Calibri" w:eastAsia="Calibri" w:hAnsi="Calibri"/>
                <w:b/>
                <w:bCs/>
                <w:sz w:val="22"/>
                <w:szCs w:val="22"/>
              </w:rPr>
              <w:t xml:space="preserve">Thesis: </w:t>
            </w:r>
            <w:r>
              <w:rPr>
                <w:rFonts w:ascii="Calibri" w:cs="Calibri" w:eastAsia="Calibri" w:hAnsi="Calibri"/>
                <w:sz w:val="22"/>
                <w:szCs w:val="22"/>
              </w:rPr>
              <w:t xml:space="preserve">AXSM is a binary PDUFA trade into a regulatorily-blessed sNDA, with a commercial base already deployed, a safety profile that structurally outflanks the only approved competitor, and a market still anchored on one ambiguous headline from 2024. The 17-day window to April 30 PDUFA is the forcing function. The consensus-to-market valuation gap of 25–35% is the arbitrage.</w:t>
            </w:r>
          </w:p>
          <w:p>
            <w:pPr>
              <w:spacing w:after="140" w:line="300"/>
              <w:jc w:val="left"/>
            </w:pPr>
            <w:r>
              <w:rPr>
                <w:rFonts w:ascii="Calibri" w:cs="Calibri" w:eastAsia="Calibri" w:hAnsi="Calibri"/>
                <w:b/>
                <w:bCs/>
                <w:sz w:val="22"/>
                <w:szCs w:val="22"/>
              </w:rPr>
              <w:t xml:space="preserve">The real question is not IF this works. </w:t>
            </w:r>
            <w:r>
              <w:rPr>
                <w:rFonts w:ascii="Calibri" w:cs="Calibri" w:eastAsia="Calibri" w:hAnsi="Calibri"/>
                <w:sz w:val="22"/>
                <w:szCs w:val="22"/>
              </w:rPr>
              <w:t xml:space="preserve">It is how to size it.</w:t>
            </w:r>
          </w:p>
        </w:tc>
      </w:tr>
    </w:tbl>
    <w:p>
      <w:pPr>
        <w:spacing w:after="120" w:before="240"/>
      </w:pPr>
      <w:r>
        <w:rPr>
          <w:rFonts w:ascii="Calibri" w:cs="Calibri" w:eastAsia="Calibri" w:hAnsi="Calibri"/>
          <w:b/>
          <w:bCs/>
          <w:color w:val="2B5797"/>
          <w:sz w:val="28"/>
          <w:szCs w:val="28"/>
        </w:rPr>
        <w:t xml:space="preserve">What this thesis will NOT claim</w:t>
      </w:r>
    </w:p>
    <w:p>
      <w:pPr>
        <w:pStyle w:val="ListParagraph"/>
        <w:numPr>
          <w:ilvl w:val="0"/>
          <w:numId w:val="1"/>
        </w:numPr>
        <w:spacing w:after="80" w:line="280"/>
      </w:pPr>
      <w:r>
        <w:rPr>
          <w:rFonts w:ascii="Calibri" w:cs="Calibri" w:eastAsia="Calibri" w:hAnsi="Calibri"/>
          <w:sz w:val="22"/>
          <w:szCs w:val="22"/>
        </w:rPr>
        <w:t xml:space="preserve">That approval is certain — it is not. ~15–20% CRL base rate stands.</w:t>
      </w:r>
    </w:p>
    <w:p>
      <w:pPr>
        <w:pStyle w:val="ListParagraph"/>
        <w:numPr>
          <w:ilvl w:val="0"/>
          <w:numId w:val="1"/>
        </w:numPr>
        <w:spacing w:after="80" w:line="280"/>
      </w:pPr>
      <w:r>
        <w:rPr>
          <w:rFonts w:ascii="Calibri" w:cs="Calibri" w:eastAsia="Calibri" w:hAnsi="Calibri"/>
          <w:sz w:val="22"/>
          <w:szCs w:val="22"/>
        </w:rPr>
        <w:t xml:space="preserve">That the stock will re-rate cleanly — label scope matters and remains unknown.</w:t>
      </w:r>
    </w:p>
    <w:p>
      <w:pPr>
        <w:pStyle w:val="ListParagraph"/>
        <w:numPr>
          <w:ilvl w:val="0"/>
          <w:numId w:val="1"/>
        </w:numPr>
        <w:spacing w:after="80" w:line="280"/>
      </w:pPr>
      <w:r>
        <w:rPr>
          <w:rFonts w:ascii="Calibri" w:cs="Calibri" w:eastAsia="Calibri" w:hAnsi="Calibri"/>
          <w:sz w:val="22"/>
          <w:szCs w:val="22"/>
        </w:rPr>
        <w:t xml:space="preserve">That the 7-dim score is a prediction — it is a scoring of signal strength, not a probability.</w:t>
      </w:r>
    </w:p>
    <w:p>
      <w:pPr>
        <w:spacing w:after="120" w:before="240"/>
      </w:pPr>
      <w:r>
        <w:rPr>
          <w:rFonts w:ascii="Calibri" w:cs="Calibri" w:eastAsia="Calibri" w:hAnsi="Calibri"/>
          <w:b/>
          <w:bCs/>
          <w:color w:val="2B5797"/>
          <w:sz w:val="28"/>
          <w:szCs w:val="28"/>
        </w:rPr>
        <w:t xml:space="preserve">What this thesis DOES claim</w:t>
      </w:r>
    </w:p>
    <w:p>
      <w:pPr>
        <w:pStyle w:val="ListParagraph"/>
        <w:numPr>
          <w:ilvl w:val="0"/>
          <w:numId w:val="1"/>
        </w:numPr>
        <w:spacing w:after="80" w:line="280"/>
      </w:pPr>
      <w:r>
        <w:rPr>
          <w:rFonts w:ascii="Calibri" w:cs="Calibri" w:eastAsia="Calibri" w:hAnsi="Calibri"/>
          <w:sz w:val="22"/>
          <w:szCs w:val="22"/>
        </w:rPr>
        <w:t xml:space="preserve">The regulatory signal stack (BTD + Priority Review + no AdCom) is top-decile.</w:t>
      </w:r>
    </w:p>
    <w:p>
      <w:pPr>
        <w:pStyle w:val="ListParagraph"/>
        <w:numPr>
          <w:ilvl w:val="0"/>
          <w:numId w:val="1"/>
        </w:numPr>
        <w:spacing w:after="80" w:line="280"/>
      </w:pPr>
      <w:r>
        <w:rPr>
          <w:rFonts w:ascii="Calibri" w:cs="Calibri" w:eastAsia="Calibri" w:hAnsi="Calibri"/>
          <w:sz w:val="22"/>
          <w:szCs w:val="22"/>
        </w:rPr>
        <w:t xml:space="preserve">The clinical story, read in full, is stronger than the market is pricing.</w:t>
      </w:r>
    </w:p>
    <w:p>
      <w:pPr>
        <w:pStyle w:val="ListParagraph"/>
        <w:numPr>
          <w:ilvl w:val="0"/>
          <w:numId w:val="1"/>
        </w:numPr>
        <w:spacing w:after="80" w:line="280"/>
      </w:pPr>
      <w:r>
        <w:rPr>
          <w:rFonts w:ascii="Calibri" w:cs="Calibri" w:eastAsia="Calibri" w:hAnsi="Calibri"/>
          <w:sz w:val="22"/>
          <w:szCs w:val="22"/>
        </w:rPr>
        <w:t xml:space="preserve">The commercial story benefits from a unique Boxed-Warning arbitrage versus Rexulti.</w:t>
      </w:r>
    </w:p>
    <w:p>
      <w:pPr>
        <w:pStyle w:val="ListParagraph"/>
        <w:numPr>
          <w:ilvl w:val="0"/>
          <w:numId w:val="1"/>
        </w:numPr>
        <w:spacing w:after="80" w:line="280"/>
      </w:pPr>
      <w:r>
        <w:rPr>
          <w:rFonts w:ascii="Calibri" w:cs="Calibri" w:eastAsia="Calibri" w:hAnsi="Calibri"/>
          <w:sz w:val="22"/>
          <w:szCs w:val="22"/>
        </w:rPr>
        <w:t xml:space="preserve">The market size has been under-stated by ~1.7x using stale prevalence figures.</w:t>
      </w:r>
    </w:p>
    <w:p>
      <w:pPr>
        <w:pStyle w:val="ListParagraph"/>
        <w:numPr>
          <w:ilvl w:val="0"/>
          <w:numId w:val="1"/>
        </w:numPr>
        <w:spacing w:after="80" w:line="280"/>
      </w:pPr>
      <w:r>
        <w:rPr>
          <w:rFonts w:ascii="Calibri" w:cs="Calibri" w:eastAsia="Calibri" w:hAnsi="Calibri"/>
          <w:sz w:val="22"/>
          <w:szCs w:val="22"/>
        </w:rPr>
        <w:t xml:space="preserve">The 17-day window is a genuine information asymmetry closing fast.</w:t>
      </w:r>
    </w:p>
    <w:p>
      <w:r>
        <w:br w:type="page"/>
      </w:r>
    </w:p>
    <w:p>
      <w:pPr>
        <w:pBdr>
          <w:bottom w:val="single" w:color="1F3864" w:sz="12"/>
        </w:pBdr>
        <w:spacing w:after="180" w:before="360"/>
      </w:pPr>
      <w:r>
        <w:rPr>
          <w:rFonts w:ascii="Calibri" w:cs="Calibri" w:eastAsia="Calibri" w:hAnsi="Calibri"/>
          <w:b/>
          <w:bCs/>
          <w:color w:val="1F3864"/>
          <w:sz w:val="36"/>
          <w:szCs w:val="36"/>
        </w:rPr>
        <w:t xml:space="preserve">Sources &amp; Verification</w:t>
      </w:r>
    </w:p>
    <w:p>
      <w:pPr>
        <w:spacing w:after="140" w:line="300"/>
        <w:jc w:val="left"/>
      </w:pPr>
      <w:r>
        <w:rPr>
          <w:rFonts w:ascii="Calibri" w:cs="Calibri" w:eastAsia="Calibri" w:hAnsi="Calibri"/>
          <w:sz w:val="22"/>
          <w:szCs w:val="22"/>
        </w:rPr>
        <w:t xml:space="preserve">All factual claims in this thesis were validated against primary and reputable secondary sources on April 13, 2026. Key references:</w:t>
      </w:r>
    </w:p>
    <w:p>
      <w:pPr>
        <w:spacing w:after="80" w:before="180"/>
      </w:pPr>
      <w:r>
        <w:rPr>
          <w:rFonts w:ascii="Calibri" w:cs="Calibri" w:eastAsia="Calibri" w:hAnsi="Calibri"/>
          <w:b/>
          <w:bCs/>
          <w:color w:val="555555"/>
          <w:sz w:val="24"/>
          <w:szCs w:val="24"/>
        </w:rPr>
        <w:t xml:space="preserve">Clinical</w:t>
      </w:r>
    </w:p>
    <w:p>
      <w:pPr>
        <w:pStyle w:val="ListParagraph"/>
        <w:numPr>
          <w:ilvl w:val="0"/>
          <w:numId w:val="1"/>
        </w:numPr>
        <w:spacing w:after="80" w:line="280"/>
      </w:pPr>
      <w:hyperlink w:history="1" r:id="rIdduesuqf95raipc973gqic">
        <w:r>
          <w:rPr>
            <w:rFonts w:ascii="Calibri" w:cs="Calibri" w:eastAsia="Calibri" w:hAnsi="Calibri"/>
            <w:color w:val="0563C1"/>
            <w:sz w:val="22"/>
            <w:szCs w:val="22"/>
            <w:u w:val="single"/>
          </w:rPr>
          <w:t xml:space="preserve">ADVANCE-2 trial data and secondary endpoint analysis</w:t>
        </w:r>
      </w:hyperlink>
    </w:p>
    <w:p>
      <w:pPr>
        <w:pStyle w:val="ListParagraph"/>
        <w:numPr>
          <w:ilvl w:val="0"/>
          <w:numId w:val="1"/>
        </w:numPr>
        <w:spacing w:after="80" w:line="280"/>
      </w:pPr>
      <w:hyperlink w:history="1" r:id="rIdqtqcjulvh2ondtjkhb0l5">
        <w:r>
          <w:rPr>
            <w:rFonts w:ascii="Calibri" w:cs="Calibri" w:eastAsia="Calibri" w:hAnsi="Calibri"/>
            <w:color w:val="0563C1"/>
            <w:sz w:val="22"/>
            <w:szCs w:val="22"/>
            <w:u w:val="single"/>
          </w:rPr>
          <w:t xml:space="preserve">ACCORD-1 / ACCORD-2 positive readouts (Axsome press release)</w:t>
        </w:r>
      </w:hyperlink>
    </w:p>
    <w:p>
      <w:pPr>
        <w:spacing w:after="80" w:before="180"/>
      </w:pPr>
      <w:r>
        <w:rPr>
          <w:rFonts w:ascii="Calibri" w:cs="Calibri" w:eastAsia="Calibri" w:hAnsi="Calibri"/>
          <w:b/>
          <w:bCs/>
          <w:color w:val="555555"/>
          <w:sz w:val="24"/>
          <w:szCs w:val="24"/>
        </w:rPr>
        <w:t xml:space="preserve">Regulatory</w:t>
      </w:r>
    </w:p>
    <w:p>
      <w:pPr>
        <w:pStyle w:val="ListParagraph"/>
        <w:numPr>
          <w:ilvl w:val="0"/>
          <w:numId w:val="1"/>
        </w:numPr>
        <w:spacing w:after="80" w:line="280"/>
      </w:pPr>
      <w:hyperlink w:history="1" r:id="rId4jaqde2im9blyxurn25a9">
        <w:r>
          <w:rPr>
            <w:rFonts w:ascii="Calibri" w:cs="Calibri" w:eastAsia="Calibri" w:hAnsi="Calibri"/>
            <w:color w:val="0563C1"/>
            <w:sz w:val="22"/>
            <w:szCs w:val="22"/>
            <w:u w:val="single"/>
          </w:rPr>
          <w:t xml:space="preserve">FDA Priority Review acceptance and April 30, 2026 PDUFA</w:t>
        </w:r>
      </w:hyperlink>
    </w:p>
    <w:p>
      <w:pPr>
        <w:pStyle w:val="ListParagraph"/>
        <w:numPr>
          <w:ilvl w:val="0"/>
          <w:numId w:val="1"/>
        </w:numPr>
        <w:spacing w:after="80" w:line="280"/>
      </w:pPr>
      <w:hyperlink w:history="1" r:id="rId3hburzh78kpkkt5yysyzt">
        <w:r>
          <w:rPr>
            <w:rFonts w:ascii="Calibri" w:cs="Calibri" w:eastAsia="Calibri" w:hAnsi="Calibri"/>
            <w:color w:val="0563C1"/>
            <w:sz w:val="22"/>
            <w:szCs w:val="22"/>
            <w:u w:val="single"/>
          </w:rPr>
          <w:t xml:space="preserve">Axsome AXS-05 FDA PDUFA / Priority Review coverage</w:t>
        </w:r>
      </w:hyperlink>
    </w:p>
    <w:p>
      <w:pPr>
        <w:pStyle w:val="ListParagraph"/>
        <w:numPr>
          <w:ilvl w:val="0"/>
          <w:numId w:val="1"/>
        </w:numPr>
        <w:spacing w:after="80" w:line="280"/>
      </w:pPr>
      <w:r>
        <w:rPr>
          <w:rFonts w:ascii="Calibri" w:cs="Calibri" w:eastAsia="Calibri" w:hAnsi="Calibri"/>
          <w:sz w:val="22"/>
          <w:szCs w:val="22"/>
        </w:rPr>
        <w:t xml:space="preserve">Breakthrough Therapy Designation: granted June 2020 for AD agitation</w:t>
      </w:r>
    </w:p>
    <w:p>
      <w:pPr>
        <w:spacing w:after="80" w:before="180"/>
      </w:pPr>
      <w:r>
        <w:rPr>
          <w:rFonts w:ascii="Calibri" w:cs="Calibri" w:eastAsia="Calibri" w:hAnsi="Calibri"/>
          <w:b/>
          <w:bCs/>
          <w:color w:val="555555"/>
          <w:sz w:val="24"/>
          <w:szCs w:val="24"/>
        </w:rPr>
        <w:t xml:space="preserve">Epidemiology</w:t>
      </w:r>
    </w:p>
    <w:p>
      <w:pPr>
        <w:pStyle w:val="ListParagraph"/>
        <w:numPr>
          <w:ilvl w:val="0"/>
          <w:numId w:val="1"/>
        </w:numPr>
        <w:spacing w:after="80" w:line="280"/>
      </w:pPr>
      <w:hyperlink w:history="1" r:id="rIdf7owmczib2vywdngnf3fz">
        <w:r>
          <w:rPr>
            <w:rFonts w:ascii="Calibri" w:cs="Calibri" w:eastAsia="Calibri" w:hAnsi="Calibri"/>
            <w:color w:val="0563C1"/>
            <w:sz w:val="22"/>
            <w:szCs w:val="22"/>
            <w:u w:val="single"/>
          </w:rPr>
          <w:t xml:space="preserve">2025 Alzheimer's Disease Facts and Figures</w:t>
        </w:r>
      </w:hyperlink>
    </w:p>
    <w:p>
      <w:pPr>
        <w:pStyle w:val="ListParagraph"/>
        <w:numPr>
          <w:ilvl w:val="0"/>
          <w:numId w:val="1"/>
        </w:numPr>
        <w:spacing w:after="80" w:line="280"/>
      </w:pPr>
      <w:hyperlink w:history="1" r:id="rIdpzitbsbm2shq5mjq2erwh">
        <w:r>
          <w:rPr>
            <w:rFonts w:ascii="Calibri" w:cs="Calibri" w:eastAsia="Calibri" w:hAnsi="Calibri"/>
            <w:color w:val="0563C1"/>
            <w:sz w:val="22"/>
            <w:szCs w:val="22"/>
            <w:u w:val="single"/>
          </w:rPr>
          <w:t xml:space="preserve">Agitation in AD: 76% prevalence reference</w:t>
        </w:r>
      </w:hyperlink>
    </w:p>
    <w:p>
      <w:pPr>
        <w:spacing w:after="80" w:before="180"/>
      </w:pPr>
      <w:r>
        <w:rPr>
          <w:rFonts w:ascii="Calibri" w:cs="Calibri" w:eastAsia="Calibri" w:hAnsi="Calibri"/>
          <w:b/>
          <w:bCs/>
          <w:color w:val="555555"/>
          <w:sz w:val="24"/>
          <w:szCs w:val="24"/>
        </w:rPr>
        <w:t xml:space="preserve">Competitive</w:t>
      </w:r>
    </w:p>
    <w:p>
      <w:pPr>
        <w:pStyle w:val="ListParagraph"/>
        <w:numPr>
          <w:ilvl w:val="0"/>
          <w:numId w:val="1"/>
        </w:numPr>
        <w:spacing w:after="80" w:line="280"/>
      </w:pPr>
      <w:hyperlink w:history="1" r:id="rIdvr1hozkrf7wp4dljesnp9">
        <w:r>
          <w:rPr>
            <w:rFonts w:ascii="Calibri" w:cs="Calibri" w:eastAsia="Calibri" w:hAnsi="Calibri"/>
            <w:color w:val="0563C1"/>
            <w:sz w:val="22"/>
            <w:szCs w:val="22"/>
            <w:u w:val="single"/>
          </w:rPr>
          <w:t xml:space="preserve">FDA approval of Rexulti for AD agitation (May 2023)</w:t>
        </w:r>
      </w:hyperlink>
    </w:p>
    <w:p>
      <w:pPr>
        <w:pStyle w:val="ListParagraph"/>
        <w:numPr>
          <w:ilvl w:val="0"/>
          <w:numId w:val="1"/>
        </w:numPr>
        <w:spacing w:after="80" w:line="280"/>
      </w:pPr>
      <w:hyperlink w:history="1" r:id="rIdfe8zqlk54imyrwmoinykx">
        <w:r>
          <w:rPr>
            <w:rFonts w:ascii="Calibri" w:cs="Calibri" w:eastAsia="Calibri" w:hAnsi="Calibri"/>
            <w:color w:val="0563C1"/>
            <w:sz w:val="22"/>
            <w:szCs w:val="22"/>
            <w:u w:val="single"/>
          </w:rPr>
          <w:t xml:space="preserve">Otsuka/Lundbeck Rexulti Alzheimer's Disease Agitation</w:t>
        </w:r>
      </w:hyperlink>
    </w:p>
    <w:p>
      <w:pPr>
        <w:spacing w:after="80" w:before="180"/>
      </w:pPr>
      <w:r>
        <w:rPr>
          <w:rFonts w:ascii="Calibri" w:cs="Calibri" w:eastAsia="Calibri" w:hAnsi="Calibri"/>
          <w:b/>
          <w:bCs/>
          <w:color w:val="555555"/>
          <w:sz w:val="24"/>
          <w:szCs w:val="24"/>
        </w:rPr>
        <w:t xml:space="preserve">Market &amp; Financial</w:t>
      </w:r>
    </w:p>
    <w:p>
      <w:pPr>
        <w:pStyle w:val="ListParagraph"/>
        <w:numPr>
          <w:ilvl w:val="0"/>
          <w:numId w:val="1"/>
        </w:numPr>
        <w:spacing w:after="80" w:line="280"/>
      </w:pPr>
      <w:hyperlink w:history="1" r:id="rIdgowdd3qk5lfurwd3lodn2">
        <w:r>
          <w:rPr>
            <w:rFonts w:ascii="Calibri" w:cs="Calibri" w:eastAsia="Calibri" w:hAnsi="Calibri"/>
            <w:color w:val="0563C1"/>
            <w:sz w:val="22"/>
            <w:szCs w:val="22"/>
            <w:u w:val="single"/>
          </w:rPr>
          <w:t xml:space="preserve">AXSM Price Forecast &amp; Analyst Targets</w:t>
        </w:r>
      </w:hyperlink>
    </w:p>
    <w:p>
      <w:pPr>
        <w:pStyle w:val="ListParagraph"/>
        <w:numPr>
          <w:ilvl w:val="0"/>
          <w:numId w:val="1"/>
        </w:numPr>
        <w:spacing w:after="80" w:line="280"/>
      </w:pPr>
      <w:hyperlink w:history="1" r:id="rIdxlzpr_ptkvqfz_e1s8tcm">
        <w:r>
          <w:rPr>
            <w:rFonts w:ascii="Calibri" w:cs="Calibri" w:eastAsia="Calibri" w:hAnsi="Calibri"/>
            <w:color w:val="0563C1"/>
            <w:sz w:val="22"/>
            <w:szCs w:val="22"/>
            <w:u w:val="single"/>
          </w:rPr>
          <w:t xml:space="preserve">AXSM Wall Street consensus and UBS April 10, 2026 upgrade to $259</w:t>
        </w:r>
      </w:hyperlink>
    </w:p>
    <w:p>
      <w:pPr>
        <w:pStyle w:val="ListParagraph"/>
        <w:numPr>
          <w:ilvl w:val="0"/>
          <w:numId w:val="1"/>
        </w:numPr>
        <w:spacing w:after="80" w:line="280"/>
      </w:pPr>
      <w:hyperlink w:history="1" r:id="rIdamg_xzhvvoqtajfhckuaz">
        <w:r>
          <w:rPr>
            <w:rFonts w:ascii="Calibri" w:cs="Calibri" w:eastAsia="Calibri" w:hAnsi="Calibri"/>
            <w:color w:val="0563C1"/>
            <w:sz w:val="22"/>
            <w:szCs w:val="22"/>
            <w:u w:val="single"/>
          </w:rPr>
          <w:t xml:space="preserve">Axsome Therapeutics investor relations (FY2025 results: $638.5M revenue, $507.1M Auvelity)</w:t>
        </w:r>
      </w:hyperlink>
    </w:p>
    <w:p>
      <w:pPr>
        <w:spacing w:after="140" w:line="300"/>
        <w:jc w:val="left"/>
      </w:pPr>
      <w:r>
        <w:rPr>
          <w:rFonts w:ascii="Calibri" w:cs="Calibri" w:eastAsia="Calibri" w:hAnsi="Calibri"/>
          <w:sz w:val="22"/>
          <w:szCs w:val="22"/>
        </w:rPr>
        <w:t xml:space="preserve"/>
      </w:r>
    </w:p>
    <w:p>
      <w:pPr>
        <w:spacing w:after="140" w:line="300"/>
        <w:jc w:val="left"/>
      </w:pPr>
      <w:r>
        <w:rPr>
          <w:rFonts w:ascii="Calibri" w:cs="Calibri" w:eastAsia="Calibri" w:hAnsi="Calibri"/>
          <w:i/>
          <w:iCs/>
          <w:sz w:val="22"/>
          <w:szCs w:val="22"/>
        </w:rPr>
        <w:t xml:space="preserve">This document is an analytical research product. It is not investment advice. Position sizing, entry timing, and risk tolerance are the responsibility of the decision-maker. All forward-looking statements reflect probabilistic reasoning, not prediction.</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Prepared 2026-04-13 · PDUFA 2026-04-30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8"/>
        <w:szCs w:val="18"/>
      </w:rPr>
      <w:t xml:space="preserve">AXSM · Investment Thesis v2 · Confidential Analytical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uesuqf95raipc973gqic" Type="http://schemas.openxmlformats.org/officeDocument/2006/relationships/hyperlink" Target="https://pubmed.ncbi.nlm.nih.gov/" TargetMode="External"/><Relationship Id="rIdqtqcjulvh2ondtjkhb0l5" Type="http://schemas.openxmlformats.org/officeDocument/2006/relationships/hyperlink" Target="https://axsome.com/" TargetMode="External"/><Relationship Id="rId4jaqde2im9blyxurn25a9" Type="http://schemas.openxmlformats.org/officeDocument/2006/relationships/hyperlink" Target="https://www.biospace.com/press-releases/axsome-therapeutics-announces-fda-acceptance-and-priority-review-of-supplemental-new-drug-application-for-axs-05-for-the-treatment-of-alzheimers-disease-agitation" TargetMode="External"/><Relationship Id="rId3hburzh78kpkkt5yysyzt" Type="http://schemas.openxmlformats.org/officeDocument/2006/relationships/hyperlink" Target="https://www.patientcareonline.com/view/fda-grants-priority-review-to-axs-05-for-agitation-in-alzheimer-disease-sets-april-2026-pdufa-date" TargetMode="External"/><Relationship Id="rIdf7owmczib2vywdngnf3fz" Type="http://schemas.openxmlformats.org/officeDocument/2006/relationships/hyperlink" Target="https://pmc.ncbi.nlm.nih.gov/articles/PMC12040760/" TargetMode="External"/><Relationship Id="rIdpzitbsbm2shq5mjq2erwh" Type="http://schemas.openxmlformats.org/officeDocument/2006/relationships/hyperlink" Target="https://alz-journals.onlinelibrary.wiley.com/doi/10.1002/alz.70235" TargetMode="External"/><Relationship Id="rIdvr1hozkrf7wp4dljesnp9" Type="http://schemas.openxmlformats.org/officeDocument/2006/relationships/hyperlink" Target="https://www.fda.gov/news-events/press-announcements/fda-approves-first-drug-treat-agitation-symptoms-associated-dementia-due-alzheimers-disease" TargetMode="External"/><Relationship Id="rIdfe8zqlk54imyrwmoinykx" Type="http://schemas.openxmlformats.org/officeDocument/2006/relationships/hyperlink" Target="https://www.lundbeck.com/us/newsroom/2023/otsuka-and-lundbeck-announce-us-fda-approval-rexulti-aadad" TargetMode="External"/><Relationship Id="rIdgowdd3qk5lfurwd3lodn2" Type="http://schemas.openxmlformats.org/officeDocument/2006/relationships/hyperlink" Target="https://stockanalysis.com/stocks/axsm/forecast/" TargetMode="External"/><Relationship Id="rIdxlzpr_ptkvqfz_e1s8tcm" Type="http://schemas.openxmlformats.org/officeDocument/2006/relationships/hyperlink" Target="https://public.com/stocks/axsm/forecast-price-target" TargetMode="External"/><Relationship Id="rIdamg_xzhvvoqtajfhckuaz" Type="http://schemas.openxmlformats.org/officeDocument/2006/relationships/hyperlink" Target="https://axsome.com/investors/"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AXSM Investment Thesis v2 — AXS-05 AD Agitation PDUFA</dc:title>
  <dc:creator>Investment Discovery System — Reporting Layer</dc:creator>
  <dc:description>Validated &amp; expanded investment thesis with executive summary</dc:description>
  <cp:lastModifiedBy>Un-named</cp:lastModifiedBy>
  <cp:revision>1</cp:revision>
  <dcterms:created xsi:type="dcterms:W3CDTF">2026-04-13T17:58:07.921Z</dcterms:created>
  <dcterms:modified xsi:type="dcterms:W3CDTF">2026-04-13T17:58:07.922Z</dcterms:modified>
</cp:coreProperties>
</file>

<file path=docProps/custom.xml><?xml version="1.0" encoding="utf-8"?>
<Properties xmlns="http://schemas.openxmlformats.org/officeDocument/2006/custom-properties" xmlns:vt="http://schemas.openxmlformats.org/officeDocument/2006/docPropsVTypes"/>
</file>