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2E75B6"/>
          <w:sz w:val="56"/>
          <w:szCs w:val="56"/>
        </w:rPr>
        <w:t xml:space="preserve">VRDN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Deep Dive Research Report</w:t>
      </w:r>
    </w:p>
    <w:p>
      <w:pPr>
        <w:spacing w:after="360"/>
        <w:jc w:val="center"/>
      </w:pPr>
      <w:r>
        <w:rPr>
          <w:i/>
          <w:iCs/>
          <w:sz w:val="28"/>
          <w:szCs w:val="28"/>
        </w:rPr>
        <w:t xml:space="preserve">Viridian Therapeutics, Inc.</w:t>
      </w:r>
    </w:p>
    <w:p>
      <w:pPr>
        <w:spacing w:after="240"/>
        <w:jc w:val="center"/>
      </w:pPr>
      <w:r>
        <w:rPr>
          <w:sz w:val="24"/>
          <w:szCs w:val="24"/>
        </w:rPr>
        <w:t xml:space="preserve">Catalyst: Veligrotug Thyroid Eye Disease PDUFA</w:t>
      </w:r>
    </w:p>
    <w:p>
      <w:pPr>
        <w:spacing w:after="360"/>
        <w:jc w:val="center"/>
      </w:pPr>
      <w:r>
        <w:rPr>
          <w:b/>
          <w:bCs/>
          <w:color w:val="C55A11"/>
          <w:sz w:val="24"/>
          <w:szCs w:val="24"/>
        </w:rPr>
        <w:t xml:space="preserve">PDUFA Action Date: June 30, 2026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Score: 26.00 / 42.5</w:t>
      </w:r>
    </w:p>
    <w:p>
      <w:pPr>
        <w:spacing w:after="240"/>
        <w:jc w:val="center"/>
      </w:pPr>
      <w:r>
        <w:rPr>
          <w:b/>
          <w:bCs/>
          <w:color w:val="D35400"/>
          <w:sz w:val="22"/>
          <w:szCs w:val="22"/>
        </w:rPr>
        <w:t xml:space="preserve">Status: WATCHLIST (Demoted from 31.5)</w:t>
      </w:r>
    </w:p>
    <w:p>
      <w:pPr>
        <w:spacing w:after="480"/>
        <w:jc w:val="center"/>
      </w:pPr>
      <w:r>
        <w:rPr>
          <w:sz w:val="22"/>
          <w:szCs w:val="22"/>
        </w:rPr>
        <w:t xml:space="preserve">Report Generated: April 14, 2026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Automated Research Report — Investment Discovery System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Viridian Therapeutics (VRDN, $1.46B market cap) has a BLA for veligrotug, an anti-IGF-1R full-antagonist antibody, for thyroid eye disease (TED) with PDUFA date June 30, 2026 — 77 trading days away. Both Phase 3 trials (THRIVE for active TED, THRIVE-2 for chronic TED) met primary endpoints with robust efficacy data.</w:t>
      </w:r>
    </w:p>
    <w:p>
      <w:pPr>
        <w:pStyle w:val="Heading2"/>
      </w:pPr>
      <w:r>
        <w:t xml:space="preserve">Why WATCHLIST?</w:t>
      </w:r>
    </w:p>
    <w:p>
      <w:pPr>
        <w:spacing w:after="160"/>
      </w:pPr>
      <w:r>
        <w:t xml:space="preserve">Score demoted from 31.5 to 26.0 on April 10 following elegrobart Phase 3 REVEAL-1 results (Mar 30). While REVEAL-1 met primary endpoint, responder rates (54-63%) came in below investor expectations. Additionally, Amgen announced positive Phase 3 results for subcutaneous Tepezza on April 6, with 77% PRR, creating competitive pressure. Veligrotug approval probability remains high (70-75%), but commercial franchise value is materially lower post-elegrobart and Amgen SC Tepezza.</w:t>
      </w:r>
    </w:p>
    <w:p>
      <w:pPr>
        <w:pStyle w:val="Heading2"/>
      </w:pPr>
      <w:r>
        <w:t xml:space="preserve">Investment Opportunity</w:t>
      </w:r>
    </w:p>
    <w:p>
      <w:pPr>
        <w:spacing w:after="160"/>
      </w:pPr>
      <w:r>
        <w:t xml:space="preserve">Stock crashed −43.8% from March 27 high ($34.29) to current $14.33 (Apr 13). Market conflated regulatory certainty (veligrotug approval) with commercial uncertainty (elegrobart + Tepeza SC competition). Approval probability for veligrotug is still high (70-75% base case). Stock at $14.33 prices in material CRL or competitive irrelevance. Upside catalyst on June 30 approval + label breadth (if approval includes both active and chronic TED) could drive +40-60% re-rating. However, risk/reward is now balanced, not asymmetric.</w:t>
      </w:r>
    </w:p>
    <w:p>
      <w:r>
        <w:br w:type="page"/>
      </w:r>
    </w:p>
    <w:p>
      <w:pPr>
        <w:pStyle w:val="Heading1"/>
      </w:pPr>
      <w:r>
        <w:t xml:space="preserve">Clinical Profile — Veligrotug</w:t>
      </w:r>
    </w:p>
    <w:p>
      <w:pPr>
        <w:pStyle w:val="Heading2"/>
      </w:pPr>
      <w:r>
        <w:t xml:space="preserve">THRIVE Phase 3 (Active TED)</w:t>
      </w:r>
    </w:p>
    <w:p>
      <w:pPr>
        <w:spacing w:after="160"/>
      </w:pPr>
      <w:r>
        <w:t xml:space="preserve">Primary endpoint: 70% proptosis responder rate (PRR) vs 5% placebo (p&lt;0.0001). Mean proptosis reduction 2.9mm vs 0.5mm placebo. Clinical Activity Score (CAS) decreased 3.4 vs 1.7. Complete diplopia resolution 54% vs 12%. Hearing AEs 16% vs 11% (5% placebo-adjusted). Well-tolerated safety profile.</w:t>
      </w:r>
    </w:p>
    <w:p>
      <w:pPr>
        <w:pStyle w:val="Heading2"/>
      </w:pPr>
      <w:r>
        <w:t xml:space="preserve">THRIVE-2 Phase 3 (Chronic TED)</w:t>
      </w:r>
    </w:p>
    <w:p>
      <w:pPr>
        <w:spacing w:after="160"/>
      </w:pPr>
      <w:r>
        <w:t xml:space="preserve">Primary: 56% PRR vs 8% placebo (p&lt;0.0001). Mean proptosis 2.34mm vs 0.46mm. Unique differentiation vs Tepezza (IV formulation) which is only approved for active TED. Veligrotug shows durability in chronic patient population — clinically meaningful advantage.</w:t>
      </w:r>
    </w:p>
    <w:p>
      <w:pPr>
        <w:pStyle w:val="Heading1"/>
      </w:pPr>
      <w:r>
        <w:t xml:space="preserve">Competitive Landscape</w:t>
      </w:r>
    </w:p>
    <w:p>
      <w:pPr>
        <w:pStyle w:val="Heading2"/>
      </w:pPr>
      <w:r>
        <w:t xml:space="preserve">Amgen Tepezza (Incumbent)</w:t>
      </w:r>
    </w:p>
    <w:p>
      <w:pPr>
        <w:spacing w:after="160"/>
      </w:pPr>
      <w:r>
        <w:t xml:space="preserve">IV formulation (8 infusions over 24 weeks). FDA approved for active TED. ~$2B peak sales. Subcutaneous Phase 3 (announced Apr 6): 77% PRR, 3.17mm mean proptosis reduction — higher than veligrotug THRIVE data. sBLA expected late 2026/early 2027. If SC approved, Tepezza dominance increases (convenience + established brand + Amgen sales force).</w:t>
      </w:r>
    </w:p>
    <w:p>
      <w:pPr>
        <w:pStyle w:val="Heading2"/>
      </w:pPr>
      <w:r>
        <w:t xml:space="preserve">Veligrotug Differentiation</w:t>
      </w:r>
    </w:p>
    <w:p>
      <w:pPr>
        <w:spacing w:after="160"/>
      </w:pPr>
      <w:r>
        <w:t xml:space="preserve">(1) 5 infusions vs Tepezza 8 (dosing convenience). (2) Full IGF-1R antagonism (veligrotug) vs partial (Tepezza) — may explain chronic TED efficacy. (3) Lower hearing risk: 5.5% placebo-adjusted vs Tepezza ~10%. (4) Chronic TED indication (unique vs Tepezza). Differentiation is real but commercial upside is capped if Amgen SC Tepezza dominates on convenience + efficacy.</w:t>
      </w:r>
    </w:p>
    <w:p>
      <w:r>
        <w:br w:type="page"/>
      </w:r>
    </w:p>
    <w:p>
      <w:pPr>
        <w:pStyle w:val="Heading1"/>
      </w:pPr>
      <w:r>
        <w:t xml:space="preserve">Web Research Findings</w:t>
      </w:r>
    </w:p>
    <w:p>
      <w:pPr>
        <w:pStyle w:val="Heading2"/>
      </w:pPr>
      <w:r>
        <w:t xml:space="preserve">Regulatory Status</w:t>
      </w:r>
    </w:p>
    <w:p>
      <w:pPr>
        <w:spacing w:after="100"/>
      </w:pPr>
      <w:hyperlink w:history="1" r:id="rIdvfg1ww0nvl2fsofa9g1gd">
        <w:r>
          <w:rPr>
            <w:rStyle w:val="Hyperlink"/>
          </w:rPr>
          <w:t xml:space="preserve">Viridian BLA Acceptance &amp; Priority Review (Dec 2025)</w:t>
        </w:r>
      </w:hyperlink>
    </w:p>
    <w:p>
      <w:pPr>
        <w:spacing w:after="100"/>
      </w:pPr>
      <w:hyperlink w:history="1" r:id="rIdvshzlaz2ci6xaoxlz9yvs">
        <w:r>
          <w:rPr>
            <w:rStyle w:val="Hyperlink"/>
          </w:rPr>
          <w:t xml:space="preserve">THRIVE Phase 3 Efficacy Data</w:t>
        </w:r>
      </w:hyperlink>
    </w:p>
    <w:p>
      <w:pPr>
        <w:spacing w:after="160"/>
      </w:pPr>
      <w:hyperlink w:history="1" r:id="rId6ygssmjr2ckw0ilixnuzk">
        <w:r>
          <w:rPr>
            <w:rStyle w:val="Hyperlink"/>
          </w:rPr>
          <w:t xml:space="preserve">THRIVE-2 Chronic TED Data</w:t>
        </w:r>
      </w:hyperlink>
    </w:p>
    <w:p>
      <w:pPr>
        <w:pStyle w:val="Heading2"/>
      </w:pPr>
      <w:r>
        <w:t xml:space="preserve">Competitive Intelligence</w:t>
      </w:r>
    </w:p>
    <w:p>
      <w:pPr>
        <w:spacing w:after="100"/>
      </w:pPr>
      <w:hyperlink w:history="1" r:id="rIdpclfem8-3frnsifpibvkv">
        <w:r>
          <w:rPr>
            <w:rStyle w:val="Hyperlink"/>
          </w:rPr>
          <w:t xml:space="preserve">Amgen SC Tepezza Phase 3 (Apr 6, 2026)</w:t>
        </w:r>
      </w:hyperlink>
    </w:p>
    <w:p>
      <w:pPr>
        <w:spacing w:after="160"/>
      </w:pPr>
      <w:hyperlink w:history="1" r:id="rId5h_ry8zt3suuxm_nc7bee">
        <w:r>
          <w:rPr>
            <w:rStyle w:val="Hyperlink"/>
          </w:rPr>
          <w:t xml:space="preserve">Viridian Takes Aim at Tepezza with Data</w:t>
        </w:r>
      </w:hyperlink>
    </w:p>
    <w:p>
      <w:pPr>
        <w:pStyle w:val="Heading2"/>
      </w:pPr>
      <w:r>
        <w:t xml:space="preserve">Analyst Activity</w:t>
      </w:r>
    </w:p>
    <w:p>
      <w:pPr>
        <w:spacing w:after="100"/>
      </w:pPr>
      <w:hyperlink w:history="1" r:id="rId4vvgcbkdyejd1vska6pji">
        <w:r>
          <w:rPr>
            <w:rStyle w:val="Hyperlink"/>
          </w:rPr>
          <w:t xml:space="preserve">Analyst Consensus PT $39.80 (22 Buy, 9 Hold)</w:t>
        </w:r>
      </w:hyperlink>
    </w:p>
    <w:p>
      <w:pPr>
        <w:spacing w:after="160"/>
      </w:pPr>
      <w:r>
        <w:t xml:space="preserve">Recent PT cuts: RBC $30 (from $42), Goldman $31 (from $36), Evercore $32 (from $45), H.C. Wainwright $22 (from $34) — post-elegrobart and Amgen SC Tepezza. Average PT $39.80 still implies ~178% upside from $14.33, but consensus is in flux.</w:t>
      </w:r>
    </w:p>
    <w:p>
      <w:r>
        <w:br w:type="page"/>
      </w:r>
    </w:p>
    <w:p>
      <w:pPr>
        <w:pStyle w:val="Heading1"/>
      </w:pPr>
      <w:r>
        <w:t xml:space="preserve">Risk Assessment</w:t>
      </w:r>
    </w:p>
    <w:p>
      <w:pPr>
        <w:spacing w:after="160"/>
      </w:pPr>
      <w:r>
        <w:t xml:space="preserve">Kill Conditions: (1) CRL for veligrotug → archive. (2) Pre-PDUFA safety signal → reassess. (3) REVEAL-2 fails → franchise collapses. (4) Stock rises to &gt;$20 pre-PDUFA → risk/reward deteriorates (move to full archive). Currently at $14.33, risk/reward is balanced.</w:t>
      </w:r>
    </w:p>
    <w:p>
      <w:pPr>
        <w:pStyle w:val="Heading1"/>
      </w:pPr>
      <w:r>
        <w:t xml:space="preserve">Final Conviction</w:t>
      </w:r>
    </w:p>
    <w:p>
      <w:pPr>
        <w:spacing w:after="160"/>
      </w:pPr>
      <w:r>
        <w:rPr>
          <w:b/>
          <w:bCs/>
          <w:color w:val="D35400"/>
          <w:sz w:val="26"/>
          <w:szCs w:val="26"/>
        </w:rPr>
        <w:t xml:space="preserve">WATCHLIST — Do not enter at $14.33. Wait for REVEAL-2 readout and Q2 sentiment shift. If weakness &lt;$12, re-evaluate.</w:t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— END OF REPORT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66666"/>
        <w:sz w:val="20"/>
        <w:szCs w:val="20"/>
      </w:rPr>
      <w:t xml:space="preserve">VRDN Deep Dive — 2026-04-14 — Investment Discovery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fg1ww0nvl2fsofa9g1gd" Type="http://schemas.openxmlformats.org/officeDocument/2006/relationships/hyperlink" Target="https://investors.viridiantherapeutics.com/news/news-details/2025/Viridian-Therapeutics-Announces-BLA-Acceptance-and-Priority-Review-for-Veligrotug-for-the-Treatment-of-Thyroid-Eye-Disease/default.aspx" TargetMode="External"/><Relationship Id="rIdvshzlaz2ci6xaoxlz9yvs" Type="http://schemas.openxmlformats.org/officeDocument/2006/relationships/hyperlink" Target="https://pmc.ncbi.nlm.nih.gov/articles/PMC12545473/" TargetMode="External"/><Relationship Id="rId6ygssmjr2ckw0ilixnuzk" Type="http://schemas.openxmlformats.org/officeDocument/2006/relationships/hyperlink" Target="https://pmc.ncbi.nlm.nih.gov/articles/PMC12544769/" TargetMode="External"/><Relationship Id="rIdpclfem8-3frnsifpibvkv" Type="http://schemas.openxmlformats.org/officeDocument/2006/relationships/hyperlink" Target="https://www.amgen.com/newsroom/press-releases/2026/04/amgen-announces-positive-topline-phase-3-results-for-subcutaneous-tepezza-in-adults-living-with-moderate-to-severe-active-thyroid-eye-disease" TargetMode="External"/><Relationship Id="rId5h_ry8zt3suuxm_nc7bee" Type="http://schemas.openxmlformats.org/officeDocument/2006/relationships/hyperlink" Target="https://pharmaphorum.com/news/viridian-takes-aim-at-amgens-tepezza-with-veligrotug-data" TargetMode="External"/><Relationship Id="rId4vvgcbkdyejd1vska6pji" Type="http://schemas.openxmlformats.org/officeDocument/2006/relationships/hyperlink" Target="https://stockanalysis.com/stocks/vrdn/forecast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2026-04-14T10:06:00.783Z</dcterms:created>
  <dcterms:modified xsi:type="dcterms:W3CDTF">2026-04-14T10:06:00.784Z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