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B5797"/>
          <w:sz w:val="72"/>
          <w:szCs w:val="72"/>
        </w:rPr>
        <w:t xml:space="preserve">AXSM</w:t>
      </w:r>
    </w:p>
    <w:p>
      <w:pPr>
        <w:spacing w:after="100"/>
        <w:jc w:val="center"/>
      </w:pPr>
      <w:r>
        <w:rPr>
          <w:rFonts w:ascii="Arial" w:cs="Arial" w:eastAsia="Arial" w:hAnsi="Arial"/>
          <w:color w:val="444444"/>
          <w:sz w:val="40"/>
          <w:szCs w:val="40"/>
        </w:rPr>
        <w:t xml:space="preserve">Deep Dive Research Report</w:t>
      </w:r>
    </w:p>
    <w:p>
      <w:pPr>
        <w:spacing w:after="400"/>
        <w:jc w:val="center"/>
      </w:pPr>
      <w:r>
        <w:rPr>
          <w:rFonts w:ascii="Arial" w:cs="Arial" w:eastAsia="Arial" w:hAnsi="Arial"/>
          <w:color w:val="666666"/>
          <w:sz w:val="28"/>
          <w:szCs w:val="28"/>
        </w:rPr>
        <w:t xml:space="preserve">Axsome Therapeutics, Inc.</w:t>
      </w:r>
    </w:p>
    <w:p>
      <w:pPr>
        <w:spacing w:after="100"/>
        <w:jc w:val="center"/>
      </w:pPr>
      <w:r>
        <w:rPr>
          <w:rFonts w:ascii="Arial" w:cs="Arial" w:eastAsia="Arial" w:hAnsi="Arial"/>
          <w:color w:val="444444"/>
          <w:sz w:val="24"/>
          <w:szCs w:val="24"/>
        </w:rPr>
        <w:t xml:space="preserve">Catalyst: AXS-05 sNDA for Alzheimer's Disease Agitation</w:t>
      </w:r>
    </w:p>
    <w:p>
      <w:pPr>
        <w:spacing w:after="100"/>
        <w:jc w:val="center"/>
      </w:pPr>
      <w:r>
        <w:rPr>
          <w:rFonts w:ascii="Arial" w:cs="Arial" w:eastAsia="Arial" w:hAnsi="Arial"/>
          <w:b/>
          <w:bCs/>
          <w:color w:val="2B5797"/>
          <w:sz w:val="24"/>
          <w:szCs w:val="24"/>
        </w:rPr>
        <w:t xml:space="preserve">PDUFA Date: April 30, 2026</w:t>
      </w:r>
    </w:p>
    <w:p>
      <w:pPr>
        <w:spacing w:after="100"/>
        <w:jc w:val="center"/>
      </w:pPr>
      <w:r>
        <w:rPr>
          <w:rFonts w:ascii="Arial" w:cs="Arial" w:eastAsia="Arial" w:hAnsi="Arial"/>
          <w:color w:val="444444"/>
          <w:sz w:val="24"/>
          <w:szCs w:val="24"/>
        </w:rPr>
        <w:t xml:space="preserve">Score: 30.75 / 42.5</w:t>
      </w:r>
    </w:p>
    <w:p>
      <w:pPr>
        <w:spacing w:before="1500"/>
      </w:pPr>
    </w:p>
    <w:p>
      <w:pPr>
        <w:spacing w:after="100"/>
        <w:jc w:val="center"/>
      </w:pPr>
      <w:r>
        <w:rPr>
          <w:rFonts w:ascii="Arial" w:cs="Arial" w:eastAsia="Arial" w:hAnsi="Arial"/>
          <w:color w:val="888888"/>
          <w:sz w:val="22"/>
          <w:szCs w:val="22"/>
        </w:rPr>
        <w:t xml:space="preserve">Report Date: April 13, 2026</w:t>
      </w:r>
    </w:p>
    <w:p>
      <w:pPr>
        <w:jc w:val="center"/>
      </w:pPr>
      <w:r>
        <w:rPr>
          <w:rFonts w:ascii="Arial" w:cs="Arial" w:eastAsia="Arial" w:hAnsi="Arial"/>
          <w:i/>
          <w:iCs/>
          <w:color w:val="888888"/>
          <w:sz w:val="20"/>
          <w:szCs w:val="20"/>
        </w:rPr>
        <w:t xml:space="preserve">Automated Research Report — Investment Discovery System</w:t>
      </w:r>
    </w:p>
    <w:p>
      <w:r>
        <w:br w:type="page"/>
      </w:r>
    </w:p>
    <w:p>
      <w:pPr>
        <w:pStyle w:val="Heading1"/>
        <w:spacing w:after="200" w:before="300"/>
      </w:pPr>
      <w:r>
        <w:rPr>
          <w:rFonts w:ascii="Arial" w:cs="Arial" w:eastAsia="Arial" w:hAnsi="Arial"/>
          <w:b/>
          <w:bCs/>
          <w:color w:val="2B5797"/>
          <w:sz w:val="32"/>
          <w:szCs w:val="32"/>
        </w:rPr>
        <w:t xml:space="preserve">1. Executive Summary</w:t>
      </w:r>
    </w:p>
    <w:p>
      <w:pPr>
        <w:spacing w:after="120"/>
      </w:pPr>
      <w:r>
        <w:rPr>
          <w:rFonts w:ascii="Arial" w:cs="Arial" w:eastAsia="Arial" w:hAnsi="Arial"/>
          <w:sz w:val="22"/>
          <w:szCs w:val="22"/>
        </w:rPr>
        <w:t xml:space="preserve">Axsome Therapeutics (NASDAQ: AXSM) is a mid-large-cap biopharmaceutical company ($9.2B market cap) with a confirmed PDUFA date of April 30, 2026, for the supplemental New Drug Application (sNDA) of AXS-05 (dextromethorphan/bupropion, marketed as Auvelity for MDD) for the treatment of agitation associated with Alzheimer's disease (ADA). The sNDA has received Priority Review designation.</w:t>
      </w:r>
    </w:p>
    <w:p>
      <w:pPr>
        <w:spacing w:after="120"/>
      </w:pPr>
      <w:r>
        <w:rPr>
          <w:rFonts w:ascii="Arial" w:cs="Arial" w:eastAsia="Arial" w:hAnsi="Arial"/>
          <w:sz w:val="22"/>
          <w:szCs w:val="22"/>
        </w:rPr>
        <w:t xml:space="preserve">The clinical program comprises four randomized, double-blind, Phase 3 trials: ADVANCE-1 (positive), ADVANCE-2 (missed primary, high placebo response), ACCORD-1 (positive, relapse prevention), and ACCORD-2 (positive, relapse prevention). A 3-of-4 hit rate with consistent effect sizes across the positive trials constitutes a robust data package. AXS-05 also carries Breakthrough Therapy designation for ADA, granted in June 2020.</w:t>
      </w:r>
    </w:p>
    <w:p>
      <w:pPr>
        <w:spacing w:after="120"/>
      </w:pPr>
      <w:r>
        <w:rPr>
          <w:rFonts w:ascii="Arial" w:cs="Arial" w:eastAsia="Arial" w:hAnsi="Arial"/>
          <w:b/>
          <w:bCs/>
          <w:sz w:val="22"/>
          <w:szCs w:val="22"/>
        </w:rPr>
        <w:t xml:space="preserve">Key finding from this deep dive: </w:t>
      </w:r>
      <w:r>
        <w:rPr>
          <w:rFonts w:ascii="Arial" w:cs="Arial" w:eastAsia="Arial" w:hAnsi="Arial"/>
          <w:sz w:val="22"/>
          <w:szCs w:val="22"/>
        </w:rPr>
        <w:t xml:space="preserve">Web research strengthens the thesis. No adverse FDA signals detected (no AdCom scheduled, no CRL signals, no safety concerns beyond known class effects). Analyst consensus remains Buy with price targets averaging $198-$217 and recent upgrades from UBS ($251), Morgan Stanley ($207), and Wells Fargo ($202). The April 1 acquisition of balipodect from Takeda signals management confidence in the company's trajectory. The $7.75M securities class action (related to AXS-07, not AXS-05) was settled and finalized Feb 27, 2026, removing a legacy overhang.</w:t>
      </w:r>
    </w:p>
    <w:p>
      <w:pPr>
        <w:spacing w:after="120"/>
      </w:pPr>
      <w:r>
        <w:rPr>
          <w:rFonts w:ascii="Arial" w:cs="Arial" w:eastAsia="Arial" w:hAnsi="Arial"/>
          <w:b/>
          <w:bCs/>
          <w:sz w:val="22"/>
          <w:szCs w:val="22"/>
        </w:rPr>
        <w:t xml:space="preserve">Conviction assessment: </w:t>
      </w:r>
      <w:r>
        <w:rPr>
          <w:rFonts w:ascii="Arial" w:cs="Arial" w:eastAsia="Arial" w:hAnsi="Arial"/>
          <w:sz w:val="22"/>
          <w:szCs w:val="22"/>
        </w:rPr>
        <w:t xml:space="preserve">Web research STRENGTHENS the thesis. Estimated approval probability 60-70%.</w:t>
      </w:r>
    </w:p>
    <w:p>
      <w:pPr>
        <w:pStyle w:val="Heading2"/>
        <w:spacing w:after="150" w:before="200"/>
      </w:pPr>
      <w:r>
        <w:rPr>
          <w:rFonts w:ascii="Arial" w:cs="Arial" w:eastAsia="Arial" w:hAnsi="Arial"/>
          <w:b/>
          <w:bCs/>
          <w:color w:val="2B5797"/>
          <w:sz w:val="26"/>
          <w:szCs w:val="26"/>
        </w:rPr>
        <w:t xml:space="preserve">Top 3 Risks</w:t>
      </w:r>
    </w:p>
    <w:p>
      <w:pPr>
        <w:spacing w:after="120"/>
      </w:pPr>
      <w:r>
        <w:rPr>
          <w:rFonts w:ascii="Arial" w:cs="Arial" w:eastAsia="Arial" w:hAnsi="Arial"/>
          <w:sz w:val="22"/>
          <w:szCs w:val="22"/>
        </w:rPr>
        <w:t xml:space="preserve">1. ADVANCE-2 primary endpoint miss — FDA may weight this negatively despite three positive trials, particularly under a conservative review posture.</w:t>
      </w:r>
    </w:p>
    <w:p>
      <w:pPr>
        <w:spacing w:after="120"/>
      </w:pPr>
      <w:r>
        <w:rPr>
          <w:rFonts w:ascii="Arial" w:cs="Arial" w:eastAsia="Arial" w:hAnsi="Arial"/>
          <w:sz w:val="22"/>
          <w:szCs w:val="22"/>
        </w:rPr>
        <w:t xml:space="preserve">2. Elderly AD population pharmacokinetics — bupropion seizure risk may require restrictive labeling (REMS or boxed warning) that limits commercial uptake.</w:t>
      </w:r>
    </w:p>
    <w:p>
      <w:pPr>
        <w:spacing w:after="120"/>
      </w:pPr>
      <w:r>
        <w:rPr>
          <w:rFonts w:ascii="Arial" w:cs="Arial" w:eastAsia="Arial" w:hAnsi="Arial"/>
          <w:sz w:val="22"/>
          <w:szCs w:val="22"/>
        </w:rPr>
        <w:t xml:space="preserve">3. Commercial competition from brexpiprazole (Rexulti) — already FDA-approved since 2023 with first-mover advantage and Otsuka/Lundbeck commercial infrastructure.</w:t>
      </w:r>
    </w:p>
    <w:p>
      <w:pPr>
        <w:pStyle w:val="Heading2"/>
        <w:spacing w:after="150" w:before="200"/>
      </w:pPr>
      <w:r>
        <w:rPr>
          <w:rFonts w:ascii="Arial" w:cs="Arial" w:eastAsia="Arial" w:hAnsi="Arial"/>
          <w:b/>
          <w:bCs/>
          <w:color w:val="2B5797"/>
          <w:sz w:val="26"/>
          <w:szCs w:val="26"/>
        </w:rPr>
        <w:t xml:space="preserve">Top 3 Bullish Catalysts</w:t>
      </w:r>
    </w:p>
    <w:p>
      <w:pPr>
        <w:spacing w:after="120"/>
      </w:pPr>
      <w:r>
        <w:rPr>
          <w:rFonts w:ascii="Arial" w:cs="Arial" w:eastAsia="Arial" w:hAnsi="Arial"/>
          <w:sz w:val="22"/>
          <w:szCs w:val="22"/>
        </w:rPr>
        <w:t xml:space="preserve">1. No AdCom convened — FDA choosing not to seek external advisory input is historically associated with higher approval probability for non-controversial data packages.</w:t>
      </w:r>
    </w:p>
    <w:p>
      <w:pPr>
        <w:spacing w:after="120"/>
      </w:pPr>
      <w:r>
        <w:rPr>
          <w:rFonts w:ascii="Arial" w:cs="Arial" w:eastAsia="Arial" w:hAnsi="Arial"/>
          <w:sz w:val="22"/>
          <w:szCs w:val="22"/>
        </w:rPr>
        <w:t xml:space="preserve">2. Auvelity commercial base ($507M FY2025) de-risks company-level downside — AXSM is not a binary pre-revenue biotech. CRL scenario floors around -25% rather than -80%.</w:t>
      </w:r>
    </w:p>
    <w:p>
      <w:pPr>
        <w:spacing w:after="120"/>
      </w:pPr>
      <w:r>
        <w:rPr>
          <w:rFonts w:ascii="Arial" w:cs="Arial" w:eastAsia="Arial" w:hAnsi="Arial"/>
          <w:sz w:val="22"/>
          <w:szCs w:val="22"/>
        </w:rPr>
        <w:t xml:space="preserve">3. Sales force doubling (300 to 600 reps) and balipodect acquisition signal management's internal expectation of approval — a $60-100M annual cost commitment that would be destructive under a CRL scenario.</w:t>
      </w:r>
    </w:p>
    <w:p>
      <w:r>
        <w:br w:type="page"/>
      </w:r>
    </w:p>
    <w:p>
      <w:pPr>
        <w:pStyle w:val="Heading1"/>
        <w:spacing w:after="200" w:before="300"/>
      </w:pPr>
      <w:r>
        <w:rPr>
          <w:rFonts w:ascii="Arial" w:cs="Arial" w:eastAsia="Arial" w:hAnsi="Arial"/>
          <w:b/>
          <w:bCs/>
          <w:color w:val="2B5797"/>
          <w:sz w:val="32"/>
          <w:szCs w:val="32"/>
        </w:rPr>
        <w:t xml:space="preserve">2. Company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color w:val="000000"/>
                <w:sz w:val="20"/>
                <w:szCs w:val="20"/>
              </w:rPr>
              <w:t xml:space="preserve">Full Name</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Axsome Therapeutics, Inc.</w:t>
            </w:r>
          </w:p>
        </w:tc>
      </w:tr>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color w:val="000000"/>
                <w:sz w:val="20"/>
                <w:szCs w:val="20"/>
              </w:rPr>
              <w:t xml:space="preserve">Ticker / Exchange</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AXSM / NASDAQ</w:t>
            </w:r>
          </w:p>
        </w:tc>
      </w:tr>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color w:val="000000"/>
                <w:sz w:val="20"/>
                <w:szCs w:val="20"/>
              </w:rPr>
              <w:t xml:space="preserve">ISIN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US05464T1043</w:t>
            </w:r>
          </w:p>
        </w:tc>
      </w:tr>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color w:val="000000"/>
                <w:sz w:val="20"/>
                <w:szCs w:val="20"/>
              </w:rPr>
              <w:t xml:space="preserve">Market Cap</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~$9.2B (as of April 10, 2026)</w:t>
            </w:r>
          </w:p>
        </w:tc>
      </w:tr>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color w:val="000000"/>
                <w:sz w:val="20"/>
                <w:szCs w:val="20"/>
              </w:rPr>
              <w:t xml:space="preserve">Sector</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Biotechnology — CNS Specialty Pharma</w:t>
            </w:r>
          </w:p>
        </w:tc>
      </w:tr>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color w:val="000000"/>
                <w:sz w:val="20"/>
                <w:szCs w:val="20"/>
              </w:rPr>
              <w:t xml:space="preserve">52-Week Range</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$86.99 — $191.50</w:t>
            </w:r>
          </w:p>
        </w:tc>
      </w:tr>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color w:val="000000"/>
                <w:sz w:val="20"/>
                <w:szCs w:val="20"/>
              </w:rPr>
              <w:t xml:space="preserve">Recent Price</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$178.11 (April 10, 2026 close)</w:t>
            </w:r>
          </w:p>
        </w:tc>
      </w:tr>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color w:val="000000"/>
                <w:sz w:val="20"/>
                <w:szCs w:val="20"/>
              </w:rPr>
              <w:t xml:space="preserve">Analyst Coverage</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16-20 analysts, Strong Buy consensus</w:t>
            </w:r>
          </w:p>
        </w:tc>
      </w:tr>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color w:val="000000"/>
                <w:sz w:val="20"/>
                <w:szCs w:val="20"/>
              </w:rPr>
              <w:t xml:space="preserve">Avg Daily Volume</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~489K shares (~$87M dollar-volume)</w:t>
            </w:r>
          </w:p>
        </w:tc>
      </w:tr>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color w:val="000000"/>
                <w:sz w:val="20"/>
                <w:szCs w:val="20"/>
              </w:rPr>
              <w:t xml:space="preserve">FY2025 Revenue</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$638.5M (+66% YoY)</w:t>
            </w:r>
          </w:p>
        </w:tc>
      </w:tr>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color w:val="000000"/>
                <w:sz w:val="20"/>
                <w:szCs w:val="20"/>
              </w:rPr>
              <w:t xml:space="preserve">Key Products</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Auvelity (MDD), SUNOSI (narcolepsy), SYMBRAVO (migraine)</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Axsome is a commercial-stage biopharmaceutical company focused on CNS disorders. Auvelity (dextromethorphan/bupropion) generated $507M in net sales in FY2025, growing 74% year-over-year. SUNOSI contributed $125M, and SYMBRAVO (launched June 2025 for migraine) added $6.6M in its first partial year. The company is approaching profitability, guided to narrow losses significantly in 2026. The sales force is being doubled from 300 to 600 reps in preparation for ADA launch, representing a meaningful cost commitment signal.</w:t>
      </w:r>
    </w:p>
    <w:p>
      <w:r>
        <w:br w:type="page"/>
      </w:r>
    </w:p>
    <w:p>
      <w:pPr>
        <w:pStyle w:val="Heading1"/>
        <w:spacing w:after="200" w:before="300"/>
      </w:pPr>
      <w:r>
        <w:rPr>
          <w:rFonts w:ascii="Arial" w:cs="Arial" w:eastAsia="Arial" w:hAnsi="Arial"/>
          <w:b/>
          <w:bCs/>
          <w:color w:val="2B5797"/>
          <w:sz w:val="32"/>
          <w:szCs w:val="32"/>
        </w:rPr>
        <w:t xml:space="preserve">3. Catalyst Analysis</w:t>
      </w:r>
    </w:p>
    <w:p>
      <w:pPr>
        <w:pStyle w:val="Heading2"/>
        <w:spacing w:after="150" w:before="200"/>
      </w:pPr>
      <w:r>
        <w:rPr>
          <w:rFonts w:ascii="Arial" w:cs="Arial" w:eastAsia="Arial" w:hAnsi="Arial"/>
          <w:b/>
          <w:bCs/>
          <w:color w:val="2B5797"/>
          <w:sz w:val="26"/>
          <w:szCs w:val="26"/>
        </w:rPr>
        <w:t xml:space="preserve">3.1 Upcoming Catalyst: AXS-05 sNDA for Alzheimer's Disease Agitation</w:t>
      </w:r>
    </w:p>
    <w:p>
      <w:pPr>
        <w:spacing w:after="120"/>
      </w:pPr>
      <w:r>
        <w:rPr>
          <w:rFonts w:ascii="Arial" w:cs="Arial" w:eastAsia="Arial" w:hAnsi="Arial"/>
          <w:sz w:val="22"/>
          <w:szCs w:val="22"/>
        </w:rPr>
        <w:t xml:space="preserve">The FDA's PDUFA target action date is April 30, 2026. This is a supplemental NDA — AXS-05 is already FDA-approved as Auvelity for major depressive disorder. The sNDA seeks a new indication for agitation associated with Alzheimer's disease, which affects approximately 50-76% of AD patients and represents one of the most burdensome aspects of the disease for caregivers.</w:t>
      </w:r>
    </w:p>
    <w:p>
      <w:pPr>
        <w:spacing w:after="120"/>
      </w:pPr>
      <w:r>
        <w:rPr>
          <w:rFonts w:ascii="Arial" w:cs="Arial" w:eastAsia="Arial" w:hAnsi="Arial"/>
          <w:sz w:val="22"/>
          <w:szCs w:val="22"/>
        </w:rPr>
        <w:t xml:space="preserve">AXS-05 has both Priority Review (6-month accelerated timeline) and Breakthrough Therapy designation for ADA. The combination of these two expedited designations is uncommon and reflects the FDA's recognition of both the unmet need and the clinical data quality.</w:t>
      </w:r>
    </w:p>
    <w:p>
      <w:pPr>
        <w:pStyle w:val="Heading2"/>
        <w:spacing w:after="150" w:before="200"/>
      </w:pPr>
      <w:r>
        <w:rPr>
          <w:rFonts w:ascii="Arial" w:cs="Arial" w:eastAsia="Arial" w:hAnsi="Arial"/>
          <w:b/>
          <w:bCs/>
          <w:color w:val="2B5797"/>
          <w:sz w:val="26"/>
          <w:szCs w:val="26"/>
        </w:rPr>
        <w:t xml:space="preserve">3.2 Historical Precedents</w:t>
      </w:r>
    </w:p>
    <w:p>
      <w:pPr>
        <w:spacing w:after="120"/>
      </w:pPr>
      <w:r>
        <w:rPr>
          <w:rFonts w:ascii="Arial" w:cs="Arial" w:eastAsia="Arial" w:hAnsi="Arial"/>
          <w:sz w:val="22"/>
          <w:szCs w:val="22"/>
        </w:rPr>
        <w:t xml:space="preserve">Brexpiprazole (Rexulti) was approved for ADA in May 2023 following an advisory committee meeting where concerns about modest efficacy were raised. The FDA approved it despite the advisory committee's mixed reception, establishing that the bar for ADA approval prioritizes any demonstrated benefit given the extreme unmet need. AXS-05's data package (3 of 4 positive trials, non-antipsychotic mechanism) is arguably stronger than brexpiprazole's, and the FDA has chosen NOT to convene an AdCom — a significant positive differentiator.</w:t>
      </w:r>
    </w:p>
    <w:p>
      <w:pPr>
        <w:spacing w:after="120"/>
      </w:pPr>
      <w:r>
        <w:rPr>
          <w:rFonts w:ascii="Arial" w:cs="Arial" w:eastAsia="Arial" w:hAnsi="Arial"/>
          <w:sz w:val="22"/>
          <w:szCs w:val="22"/>
        </w:rPr>
        <w:t xml:space="preserve">For drugs with both Breakthrough Therapy designation and Priority Review, historical approval rates exceed 90%. Of 634 BTD grants through September 2025, 336 products (53%) have been approved, but this includes early-stage designations that never completed development. Among those that reached NDA/BLA filing stage with Priority Review, the success rate is substantially higher.</w:t>
      </w:r>
    </w:p>
    <w:p>
      <w:pPr>
        <w:pStyle w:val="Heading2"/>
        <w:spacing w:after="150" w:before="200"/>
      </w:pPr>
      <w:r>
        <w:rPr>
          <w:rFonts w:ascii="Arial" w:cs="Arial" w:eastAsia="Arial" w:hAnsi="Arial"/>
          <w:b/>
          <w:bCs/>
          <w:color w:val="2B5797"/>
          <w:sz w:val="26"/>
          <w:szCs w:val="26"/>
        </w:rPr>
        <w:t xml:space="preserve">3.3 Probability Assessment</w:t>
      </w:r>
    </w:p>
    <w:p>
      <w:pPr>
        <w:spacing w:after="120"/>
      </w:pPr>
      <w:r>
        <w:rPr>
          <w:rFonts w:ascii="Arial" w:cs="Arial" w:eastAsia="Arial" w:hAnsi="Arial"/>
          <w:sz w:val="22"/>
          <w:szCs w:val="22"/>
        </w:rPr>
        <w:t xml:space="preserve">Estimated approval probability: 60-70%. The lower bound is constrained by the ADVANCE-2 miss, which provides the FDA a credible reason to issue a CRL if the review division is not satisfied with the totality-of-evidence argument. The upper bound reflects the strong package: 3/4 positive Phase 3 trials, BTD, Priority Review, no AdCom, non-antipsychotic mechanism with large commercial safety database, and massive unmet need.</w:t>
      </w:r>
    </w:p>
    <w:p>
      <w:pPr>
        <w:pStyle w:val="Heading2"/>
        <w:spacing w:after="150" w:before="200"/>
      </w:pPr>
      <w:r>
        <w:rPr>
          <w:rFonts w:ascii="Arial" w:cs="Arial" w:eastAsia="Arial" w:hAnsi="Arial"/>
          <w:b/>
          <w:bCs/>
          <w:color w:val="2B5797"/>
          <w:sz w:val="26"/>
          <w:szCs w:val="26"/>
        </w:rPr>
        <w:t xml:space="preserve">3.4 Key Dates</w:t>
      </w:r>
    </w:p>
    <w:p>
      <w:pPr>
        <w:spacing w:after="120"/>
      </w:pPr>
      <w:r>
        <w:rPr>
          <w:rFonts w:ascii="Arial" w:cs="Arial" w:eastAsia="Arial" w:hAnsi="Arial"/>
          <w:sz w:val="22"/>
          <w:szCs w:val="22"/>
        </w:rPr>
        <w:t xml:space="preserve">April 30, 2026 — PDUFA target action date. May 4, 2026 — Q1 2026 earnings call (scheduled post-PDUFA; guidance will incorporate ADA decision). Mid-2026 — Planned commercial launch if approved. Q2 2026 — Phase 3-enabling activities for balipodect (schizophrenia).</w:t>
      </w:r>
    </w:p>
    <w:p>
      <w:r>
        <w:br w:type="page"/>
      </w:r>
    </w:p>
    <w:p>
      <w:pPr>
        <w:pStyle w:val="Heading1"/>
        <w:spacing w:after="200" w:before="300"/>
      </w:pPr>
      <w:r>
        <w:rPr>
          <w:rFonts w:ascii="Arial" w:cs="Arial" w:eastAsia="Arial" w:hAnsi="Arial"/>
          <w:b/>
          <w:bCs/>
          <w:color w:val="2B5797"/>
          <w:sz w:val="32"/>
          <w:szCs w:val="32"/>
        </w:rPr>
        <w:t xml:space="preserve">4. Scoring Breakdown</w:t>
      </w:r>
    </w:p>
    <w:p>
      <w:pPr>
        <w:spacing w:after="120"/>
      </w:pPr>
      <w:r>
        <w:rPr>
          <w:rFonts w:ascii="Arial" w:cs="Arial" w:eastAsia="Arial" w:hAnsi="Arial"/>
          <w:sz w:val="22"/>
          <w:szCs w:val="22"/>
        </w:rPr>
        <w:t xml:space="preserve">7-dimension score per the Investment Discovery System scoring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900"/>
        <w:gridCol w:w="1200"/>
        <w:gridCol w:w="4160"/>
      </w:tblGrid>
      <w:tr>
        <w:tc>
          <w:tcPr>
            <w:tcW w:type="dxa" w:w="22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Dimension</w:t>
            </w:r>
          </w:p>
        </w:tc>
        <w:tc>
          <w:tcPr>
            <w:tcW w:type="dxa" w:w="9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Weight</w:t>
            </w:r>
          </w:p>
        </w:tc>
        <w:tc>
          <w:tcPr>
            <w:tcW w:type="dxa" w:w="9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Score</w:t>
            </w:r>
          </w:p>
        </w:tc>
        <w:tc>
          <w:tcPr>
            <w:tcW w:type="dxa" w:w="12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Weighted</w:t>
            </w:r>
          </w:p>
        </w:tc>
        <w:tc>
          <w:tcPr>
            <w:tcW w:type="dxa" w:w="416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Commentary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Signal Strength</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x2.0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8.0</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3/4 P3 positive, Priority Review, BTD, no AdCom, commercial prep, Apr 9 2x volume tape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Catalyst Clarity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x1.0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4.5</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Hard PDUFA date April 30, binary outcome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Info Asymmetry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x1.5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3.75</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Market implies ~50% approval vs our ~65%. PDUFA widely tracked but nuance (no AdCom, 3/4 hit rate) less appreciated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Risk/Reward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x1.0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3.5</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Upside +20-30% (Jefferies PT $245); downside -25-35% (Auvelity franchise floors)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Edge Decay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x1.0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3.0</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T-13 trading days; edge compressing as PDUFA approaches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Liquidity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x1.0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4.0</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$9.2B mcap, ~489K ADV, deep options market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Catalyst Timeline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x1.0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4.0</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17 days to PDUFA — immediate action window</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TOTAL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B5797"/>
                <w:sz w:val="20"/>
                <w:szCs w:val="20"/>
              </w:rPr>
              <w:t xml:space="preserve">30.75</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Above 28-point active candidate threshold</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Web research impact on scoring: </w:t>
      </w:r>
      <w:r>
        <w:rPr>
          <w:rFonts w:ascii="Arial" w:cs="Arial" w:eastAsia="Arial" w:hAnsi="Arial"/>
          <w:sz w:val="22"/>
          <w:szCs w:val="22"/>
        </w:rPr>
        <w:t xml:space="preserve">No dimension score changes warranted. Analyst activity (UBS $251 raise, Morgan Stanley $207, Wells Fargo $202) and balipodect acquisition strengthen Signal Strength, but the ADVANCE-2 miss remains a real concern that caps the dimension at 4.0. Information Asymmetry remains at 2.5 — the PDUFA is well-followed but the no-AdCom significance is underappreciated by retail investors. Overall score 30.75 confirmed.</w:t>
      </w:r>
    </w:p>
    <w:p>
      <w:r>
        <w:br w:type="page"/>
      </w:r>
    </w:p>
    <w:p>
      <w:pPr>
        <w:pStyle w:val="Heading1"/>
        <w:spacing w:after="200" w:before="300"/>
      </w:pPr>
      <w:r>
        <w:rPr>
          <w:rFonts w:ascii="Arial" w:cs="Arial" w:eastAsia="Arial" w:hAnsi="Arial"/>
          <w:b/>
          <w:bCs/>
          <w:color w:val="2B5797"/>
          <w:sz w:val="32"/>
          <w:szCs w:val="32"/>
        </w:rPr>
        <w:t xml:space="preserve">5. Web Research Findings</w:t>
      </w:r>
    </w:p>
    <w:p>
      <w:pPr>
        <w:pStyle w:val="Heading2"/>
        <w:spacing w:after="150" w:before="200"/>
      </w:pPr>
      <w:r>
        <w:rPr>
          <w:rFonts w:ascii="Arial" w:cs="Arial" w:eastAsia="Arial" w:hAnsi="Arial"/>
          <w:b/>
          <w:bCs/>
          <w:color w:val="2B5797"/>
          <w:sz w:val="26"/>
          <w:szCs w:val="26"/>
        </w:rPr>
        <w:t xml:space="preserve">5.1 Recent News (Last 6 Months)</w:t>
      </w:r>
    </w:p>
    <w:p>
      <w:pPr>
        <w:spacing w:after="120"/>
      </w:pPr>
      <w:r>
        <w:rPr>
          <w:rFonts w:ascii="Arial" w:cs="Arial" w:eastAsia="Arial" w:hAnsi="Arial"/>
          <w:sz w:val="22"/>
          <w:szCs w:val="22"/>
        </w:rPr>
        <w:t xml:space="preserve">Dec 31, 2025: FDA accepted sNDA and granted Priority Review, PDUFA April 30, 2026. Jan 12, 2026: Preliminary Q4/FY2025 revenue disclosed ($638.5M total, $507M Auvelity). Feb 17, 2026: Settled SUNOSI patent litigation with Alkem (generic entry 2040). Feb 23, 2026: Q4/FY2025 earnings reported, Auvelity growth 74% YoY. Feb 27, 2026: Securities class action ($7.75M) finalized by court — AXS-07-related, not AXS-05. Apr 1, 2026: Acquired balipodect (PDE10A inhibitor) from Takeda for schizophrenia, Phase 3 prep in 2026.</w:t>
      </w:r>
    </w:p>
    <w:p>
      <w:pPr>
        <w:spacing w:after="120"/>
      </w:pPr>
      <w:r>
        <w:rPr>
          <w:rFonts w:ascii="Arial" w:cs="Arial" w:eastAsia="Arial" w:hAnsi="Arial"/>
          <w:b/>
          <w:bCs/>
          <w:sz w:val="22"/>
          <w:szCs w:val="22"/>
        </w:rPr>
        <w:t xml:space="preserve">Assessment: </w:t>
      </w:r>
      <w:r>
        <w:rPr>
          <w:rFonts w:ascii="Arial" w:cs="Arial" w:eastAsia="Arial" w:hAnsi="Arial"/>
          <w:sz w:val="22"/>
          <w:szCs w:val="22"/>
        </w:rPr>
        <w:t xml:space="preserve">BULLISH — Clean news flow with no negative FDA signals. Patent settlements protect SUNOSI revenue. M&amp;A activity signals management confidence.</w:t>
      </w:r>
    </w:p>
    <w:p>
      <w:pPr>
        <w:pStyle w:val="Heading2"/>
        <w:spacing w:after="150" w:before="200"/>
      </w:pPr>
      <w:r>
        <w:rPr>
          <w:rFonts w:ascii="Arial" w:cs="Arial" w:eastAsia="Arial" w:hAnsi="Arial"/>
          <w:b/>
          <w:bCs/>
          <w:color w:val="2B5797"/>
          <w:sz w:val="26"/>
          <w:szCs w:val="26"/>
        </w:rPr>
        <w:t xml:space="preserve">5.2 Analyst Activity</w:t>
      </w:r>
    </w:p>
    <w:p>
      <w:pPr>
        <w:spacing w:after="120"/>
      </w:pPr>
      <w:r>
        <w:rPr>
          <w:rFonts w:ascii="Arial" w:cs="Arial" w:eastAsia="Arial" w:hAnsi="Arial"/>
          <w:sz w:val="22"/>
          <w:szCs w:val="22"/>
        </w:rPr>
        <w:t xml:space="preserve">Consensus: Strong Buy (16-20 analysts). Average PT ranges from $198 to $217 depending on source, with a high of $260-$273 and low of $151-$153. Recent actions: UBS raised to $251 (from $248), Morgan Stanley to $207 (from $204), Wells Fargo to $202 (from $193). No downgrades detected in April 2026. Zero Sell ratings.</w:t>
      </w:r>
    </w:p>
    <w:p>
      <w:pPr>
        <w:spacing w:after="120"/>
      </w:pPr>
      <w:r>
        <w:rPr>
          <w:rFonts w:ascii="Arial" w:cs="Arial" w:eastAsia="Arial" w:hAnsi="Arial"/>
          <w:b/>
          <w:bCs/>
          <w:sz w:val="22"/>
          <w:szCs w:val="22"/>
        </w:rPr>
        <w:t xml:space="preserve">Assessment: </w:t>
      </w:r>
      <w:r>
        <w:rPr>
          <w:rFonts w:ascii="Arial" w:cs="Arial" w:eastAsia="Arial" w:hAnsi="Arial"/>
          <w:sz w:val="22"/>
          <w:szCs w:val="22"/>
        </w:rPr>
        <w:t xml:space="preserve">BULLISH — Broad analyst support with recent upward PT revisions into the PDUFA window. Consensus implies 10-20% upside even from current levels.</w:t>
      </w:r>
    </w:p>
    <w:p>
      <w:pPr>
        <w:pStyle w:val="Heading2"/>
        <w:spacing w:after="150" w:before="200"/>
      </w:pPr>
      <w:r>
        <w:rPr>
          <w:rFonts w:ascii="Arial" w:cs="Arial" w:eastAsia="Arial" w:hAnsi="Arial"/>
          <w:b/>
          <w:bCs/>
          <w:color w:val="2B5797"/>
          <w:sz w:val="26"/>
          <w:szCs w:val="26"/>
        </w:rPr>
        <w:t xml:space="preserve">5.3 SEC Filings</w:t>
      </w:r>
    </w:p>
    <w:p>
      <w:pPr>
        <w:spacing w:after="120"/>
      </w:pPr>
      <w:r>
        <w:rPr>
          <w:rFonts w:ascii="Arial" w:cs="Arial" w:eastAsia="Arial" w:hAnsi="Arial"/>
          <w:sz w:val="22"/>
          <w:szCs w:val="22"/>
        </w:rPr>
        <w:t xml:space="preserve">8-K filings since sNDA acceptance (Jan 12, 2026): Feb 23 (Q4 earnings), Apr 1 (balipodect acquisition — Item 8.01). No 8-K filings referencing FDA communication, CRL, AdCom, or label negotiation. Insider activity: CEO Tabuteau exercised $6M in options (Feb, planned 10b5-1 near 10-year expiration — neutral). Director Coleman exercised 6,250 options at $4.95, held shares (mildly bullish). COO Jacobson received 19,663 RSUs (routine). No discretionary insider selling detected.</w:t>
      </w:r>
    </w:p>
    <w:p>
      <w:pPr>
        <w:spacing w:after="120"/>
      </w:pPr>
      <w:r>
        <w:rPr>
          <w:rFonts w:ascii="Arial" w:cs="Arial" w:eastAsia="Arial" w:hAnsi="Arial"/>
          <w:b/>
          <w:bCs/>
          <w:sz w:val="22"/>
          <w:szCs w:val="22"/>
        </w:rPr>
        <w:t xml:space="preserve">Assessment: </w:t>
      </w:r>
      <w:r>
        <w:rPr>
          <w:rFonts w:ascii="Arial" w:cs="Arial" w:eastAsia="Arial" w:hAnsi="Arial"/>
          <w:sz w:val="22"/>
          <w:szCs w:val="22"/>
        </w:rPr>
        <w:t xml:space="preserve">NEUTRAL-TO-BULLISH — No adverse regulatory signals via 8-K channel. Insider transactions are routine/planned.</w:t>
      </w:r>
    </w:p>
    <w:p>
      <w:pPr>
        <w:pStyle w:val="Heading2"/>
        <w:spacing w:after="150" w:before="200"/>
      </w:pPr>
      <w:r>
        <w:rPr>
          <w:rFonts w:ascii="Arial" w:cs="Arial" w:eastAsia="Arial" w:hAnsi="Arial"/>
          <w:b/>
          <w:bCs/>
          <w:color w:val="2B5797"/>
          <w:sz w:val="26"/>
          <w:szCs w:val="26"/>
        </w:rPr>
        <w:t xml:space="preserve">5.4 FDA-Specific Analysis</w:t>
      </w:r>
    </w:p>
    <w:p>
      <w:pPr>
        <w:spacing w:after="120"/>
      </w:pPr>
      <w:r>
        <w:rPr>
          <w:rFonts w:ascii="Arial" w:cs="Arial" w:eastAsia="Arial" w:hAnsi="Arial"/>
          <w:sz w:val="22"/>
          <w:szCs w:val="22"/>
        </w:rPr>
        <w:t xml:space="preserve">No Psychopharmacologic Drugs Advisory Committee meeting has been announced for April 2026 or for AXS-05. This was verified through Federal Register searches and FDA website monitoring. The absence of an AdCom is a significant positive marker — brexpiprazole's ADA approval process in 2023 included a contentious AdCom where efficacy was questioned. FDA choosing to forgo external advisory input for AXS-05 suggests the review division has sufficient confidence in the data package. AXS-05's Auvelity post-marketing safety database (2022-2026) shows known class effects (suicidal ideation, serotonin syndrome, seizure, dizziness) with no novel signals that would complicate the benefit-risk assessment for ADA.</w:t>
      </w:r>
    </w:p>
    <w:p>
      <w:pPr>
        <w:spacing w:after="120"/>
      </w:pPr>
      <w:r>
        <w:rPr>
          <w:rFonts w:ascii="Arial" w:cs="Arial" w:eastAsia="Arial" w:hAnsi="Arial"/>
          <w:b/>
          <w:bCs/>
          <w:sz w:val="22"/>
          <w:szCs w:val="22"/>
        </w:rPr>
        <w:t xml:space="preserve">Assessment: </w:t>
      </w:r>
      <w:r>
        <w:rPr>
          <w:rFonts w:ascii="Arial" w:cs="Arial" w:eastAsia="Arial" w:hAnsi="Arial"/>
          <w:sz w:val="22"/>
          <w:szCs w:val="22"/>
        </w:rPr>
        <w:t xml:space="preserve">BULLISH — No AdCom is the strongest positive FDA signal available pre-decision.</w:t>
      </w:r>
    </w:p>
    <w:p>
      <w:pPr>
        <w:pStyle w:val="Heading2"/>
        <w:spacing w:after="150" w:before="200"/>
      </w:pPr>
      <w:r>
        <w:rPr>
          <w:rFonts w:ascii="Arial" w:cs="Arial" w:eastAsia="Arial" w:hAnsi="Arial"/>
          <w:b/>
          <w:bCs/>
          <w:color w:val="2B5797"/>
          <w:sz w:val="26"/>
          <w:szCs w:val="26"/>
        </w:rPr>
        <w:t xml:space="preserve">5.5 Litigation &amp; Regulatory</w:t>
      </w:r>
    </w:p>
    <w:p>
      <w:pPr>
        <w:spacing w:after="120"/>
      </w:pPr>
      <w:r>
        <w:rPr>
          <w:rFonts w:ascii="Arial" w:cs="Arial" w:eastAsia="Arial" w:hAnsi="Arial"/>
          <w:sz w:val="22"/>
          <w:szCs w:val="22"/>
        </w:rPr>
        <w:t xml:space="preserve">The $7.75M securities class action settlement (related to AXS-07 manufacturing issues, 2021-2022 class period) was finalized February 27, 2026. SUNOSI patent litigation settled with Alkem (Feb 2026, generic entry 2040) and Hetero (May 2025). No pending SEC investigation identified. No DOJ or whistleblower activity detected.</w:t>
      </w:r>
    </w:p>
    <w:p>
      <w:pPr>
        <w:spacing w:after="120"/>
      </w:pPr>
      <w:r>
        <w:rPr>
          <w:rFonts w:ascii="Arial" w:cs="Arial" w:eastAsia="Arial" w:hAnsi="Arial"/>
          <w:b/>
          <w:bCs/>
          <w:sz w:val="22"/>
          <w:szCs w:val="22"/>
        </w:rPr>
        <w:t xml:space="preserve">Assessment: </w:t>
      </w:r>
      <w:r>
        <w:rPr>
          <w:rFonts w:ascii="Arial" w:cs="Arial" w:eastAsia="Arial" w:hAnsi="Arial"/>
          <w:sz w:val="22"/>
          <w:szCs w:val="22"/>
        </w:rPr>
        <w:t xml:space="preserve">BULLISH — Legacy litigation resolved. No active material litigation.</w:t>
      </w:r>
    </w:p>
    <w:p>
      <w:pPr>
        <w:pStyle w:val="Heading2"/>
        <w:spacing w:after="150" w:before="200"/>
      </w:pPr>
      <w:r>
        <w:rPr>
          <w:rFonts w:ascii="Arial" w:cs="Arial" w:eastAsia="Arial" w:hAnsi="Arial"/>
          <w:b/>
          <w:bCs/>
          <w:color w:val="2B5797"/>
          <w:sz w:val="26"/>
          <w:szCs w:val="26"/>
        </w:rPr>
        <w:t xml:space="preserve">5.6 Social Sentiment &amp; Market Discussion</w:t>
      </w:r>
    </w:p>
    <w:p>
      <w:pPr>
        <w:spacing w:after="120"/>
      </w:pPr>
      <w:r>
        <w:rPr>
          <w:rFonts w:ascii="Arial" w:cs="Arial" w:eastAsia="Arial" w:hAnsi="Arial"/>
          <w:sz w:val="22"/>
          <w:szCs w:val="22"/>
        </w:rPr>
        <w:t xml:space="preserve">Short interest: 2.84M shares (6.96% of float), decreased from prior reporting period (3.40M). Days to cover: 5.8 days. Short interest is declining into the PDUFA window — this is a neutral-to-bullish signal, indicating shorts are not building conviction for a CRL outcome.</w:t>
      </w:r>
    </w:p>
    <w:p>
      <w:pPr>
        <w:spacing w:after="120"/>
      </w:pPr>
      <w:r>
        <w:rPr>
          <w:rFonts w:ascii="Arial" w:cs="Arial" w:eastAsia="Arial" w:hAnsi="Arial"/>
          <w:b/>
          <w:bCs/>
          <w:sz w:val="22"/>
          <w:szCs w:val="22"/>
        </w:rPr>
        <w:t xml:space="preserve">Assessment: </w:t>
      </w:r>
      <w:r>
        <w:rPr>
          <w:rFonts w:ascii="Arial" w:cs="Arial" w:eastAsia="Arial" w:hAnsi="Arial"/>
          <w:sz w:val="22"/>
          <w:szCs w:val="22"/>
        </w:rPr>
        <w:t xml:space="preserve">NEUTRAL-TO-BULLISH — Declining short interest is modestly positive.</w:t>
      </w:r>
    </w:p>
    <w:p>
      <w:pPr>
        <w:pStyle w:val="Heading2"/>
        <w:spacing w:after="150" w:before="200"/>
      </w:pPr>
      <w:r>
        <w:rPr>
          <w:rFonts w:ascii="Arial" w:cs="Arial" w:eastAsia="Arial" w:hAnsi="Arial"/>
          <w:b/>
          <w:bCs/>
          <w:color w:val="2B5797"/>
          <w:sz w:val="26"/>
          <w:szCs w:val="26"/>
        </w:rPr>
        <w:t xml:space="preserve">5.7 Competitive Landscape</w:t>
      </w:r>
    </w:p>
    <w:p>
      <w:pPr>
        <w:spacing w:after="120"/>
      </w:pPr>
      <w:r>
        <w:rPr>
          <w:rFonts w:ascii="Arial" w:cs="Arial" w:eastAsia="Arial" w:hAnsi="Arial"/>
          <w:sz w:val="22"/>
          <w:szCs w:val="22"/>
        </w:rPr>
        <w:t xml:space="preserve">Only one FDA-approved competitor for ADA: brexpiprazole (Rexulti, Otsuka/Lundbeck), approved May 2023. Rexulti carries an antipsychotic boxed warning for increased mortality risk in elderly dementia patients, has a 2-3 week titration schedule, and demonstrated modest efficacy (clinical benefit described as 'minimal and may not be clinically noticeable' per AAFP review). Peak sales estimated at ~$1-1.5B. AXS-05 differentiates as a non-antipsychotic with no anticipated boxed warning for dementia mortality, a faster onset of action, and a mechanism (NMDA antagonist + sigma-1 agonist) distinct from dopamine modulation. Off-label antipsychotics (risperidone, quetiapine, olanzapine) remain widely used despite boxed warnings and side effects.</w:t>
      </w:r>
    </w:p>
    <w:p>
      <w:pPr>
        <w:spacing w:after="120"/>
      </w:pPr>
      <w:r>
        <w:rPr>
          <w:rFonts w:ascii="Arial" w:cs="Arial" w:eastAsia="Arial" w:hAnsi="Arial"/>
          <w:b/>
          <w:bCs/>
          <w:sz w:val="22"/>
          <w:szCs w:val="22"/>
        </w:rPr>
        <w:t xml:space="preserve">Assessment: </w:t>
      </w:r>
      <w:r>
        <w:rPr>
          <w:rFonts w:ascii="Arial" w:cs="Arial" w:eastAsia="Arial" w:hAnsi="Arial"/>
          <w:sz w:val="22"/>
          <w:szCs w:val="22"/>
        </w:rPr>
        <w:t xml:space="preserve">BULLISH — The competitive landscape is favorable. Rexulti's limitations (boxed warning, modest efficacy, antipsychotic class) create significant room for a well-tolerated non-antipsychotic alternative.</w:t>
      </w:r>
    </w:p>
    <w:p>
      <w:pPr>
        <w:pStyle w:val="Heading2"/>
        <w:spacing w:after="150" w:before="200"/>
      </w:pPr>
      <w:r>
        <w:rPr>
          <w:rFonts w:ascii="Arial" w:cs="Arial" w:eastAsia="Arial" w:hAnsi="Arial"/>
          <w:b/>
          <w:bCs/>
          <w:color w:val="2B5797"/>
          <w:sz w:val="26"/>
          <w:szCs w:val="26"/>
        </w:rPr>
        <w:t xml:space="preserve">5.8 Financial Health</w:t>
      </w:r>
    </w:p>
    <w:p>
      <w:pPr>
        <w:spacing w:after="120"/>
      </w:pPr>
      <w:r>
        <w:rPr>
          <w:rFonts w:ascii="Arial" w:cs="Arial" w:eastAsia="Arial" w:hAnsi="Arial"/>
          <w:sz w:val="22"/>
          <w:szCs w:val="22"/>
        </w:rPr>
        <w:t xml:space="preserve">FY2025 total revenue: $638.5M (+66% YoY). Auvelity: $507M (+74%). SUNOSI: $125M. SYMBRAVO: $6.6M. The company is approaching profitability with narrowing losses. Cash position adequate for operations (guided to cash flow breakeven trajectory). Sales force doubling from 300 to 600 reps represents a ~$60-100M annual commitment. ADA peak sales estimates from analysts: $1.5-3.0B. Q1 2026 earnings due May 4 (post-PDUFA).</w:t>
      </w:r>
    </w:p>
    <w:p>
      <w:pPr>
        <w:spacing w:after="120"/>
      </w:pPr>
      <w:r>
        <w:rPr>
          <w:rFonts w:ascii="Arial" w:cs="Arial" w:eastAsia="Arial" w:hAnsi="Arial"/>
          <w:b/>
          <w:bCs/>
          <w:sz w:val="22"/>
          <w:szCs w:val="22"/>
        </w:rPr>
        <w:t xml:space="preserve">Assessment: </w:t>
      </w:r>
      <w:r>
        <w:rPr>
          <w:rFonts w:ascii="Arial" w:cs="Arial" w:eastAsia="Arial" w:hAnsi="Arial"/>
          <w:sz w:val="22"/>
          <w:szCs w:val="22"/>
        </w:rPr>
        <w:t xml:space="preserve">BULLISH — Strong revenue trajectory with commercial infrastructure already in place for ADA launch.</w:t>
      </w:r>
    </w:p>
    <w:p>
      <w:pPr>
        <w:pStyle w:val="Heading2"/>
        <w:spacing w:after="150" w:before="200"/>
      </w:pPr>
      <w:r>
        <w:rPr>
          <w:rFonts w:ascii="Arial" w:cs="Arial" w:eastAsia="Arial" w:hAnsi="Arial"/>
          <w:b/>
          <w:bCs/>
          <w:color w:val="2B5797"/>
          <w:sz w:val="26"/>
          <w:szCs w:val="26"/>
        </w:rPr>
        <w:t xml:space="preserve">5.9 Institutional Ownership</w:t>
      </w:r>
    </w:p>
    <w:p>
      <w:pPr>
        <w:spacing w:after="120"/>
      </w:pPr>
      <w:r>
        <w:rPr>
          <w:rFonts w:ascii="Arial" w:cs="Arial" w:eastAsia="Arial" w:hAnsi="Arial"/>
          <w:sz w:val="22"/>
          <w:szCs w:val="22"/>
        </w:rPr>
        <w:t xml:space="preserve">479 institutional holders with 38.97M shares. Major holders include Vanguard, BlackRock, Price T Rowe, Invesco, Wellington, FMR, Deep Track Capital. Institutional ownership is broad and diversified — no single concentration risk. No activist involvement detected. No unusual 13D filings.</w:t>
      </w:r>
    </w:p>
    <w:p>
      <w:pPr>
        <w:spacing w:after="120"/>
      </w:pPr>
      <w:r>
        <w:rPr>
          <w:rFonts w:ascii="Arial" w:cs="Arial" w:eastAsia="Arial" w:hAnsi="Arial"/>
          <w:b/>
          <w:bCs/>
          <w:sz w:val="22"/>
          <w:szCs w:val="22"/>
        </w:rPr>
        <w:t xml:space="preserve">Assessment: </w:t>
      </w:r>
      <w:r>
        <w:rPr>
          <w:rFonts w:ascii="Arial" w:cs="Arial" w:eastAsia="Arial" w:hAnsi="Arial"/>
          <w:sz w:val="22"/>
          <w:szCs w:val="22"/>
        </w:rPr>
        <w:t xml:space="preserve">NEUTRAL — Institutional base is supportive and diversified.</w:t>
      </w:r>
    </w:p>
    <w:p>
      <w:pPr>
        <w:pStyle w:val="Heading2"/>
        <w:spacing w:after="150" w:before="200"/>
      </w:pPr>
      <w:r>
        <w:rPr>
          <w:rFonts w:ascii="Arial" w:cs="Arial" w:eastAsia="Arial" w:hAnsi="Arial"/>
          <w:b/>
          <w:bCs/>
          <w:color w:val="2B5797"/>
          <w:sz w:val="26"/>
          <w:szCs w:val="26"/>
        </w:rPr>
        <w:t xml:space="preserve">5.10 Options Market</w:t>
      </w:r>
    </w:p>
    <w:p>
      <w:pPr>
        <w:spacing w:after="120"/>
      </w:pPr>
      <w:r>
        <w:rPr>
          <w:rFonts w:ascii="Arial" w:cs="Arial" w:eastAsia="Arial" w:hAnsi="Arial"/>
          <w:sz w:val="22"/>
          <w:szCs w:val="22"/>
        </w:rPr>
        <w:t xml:space="preserve">May 15 straddle implies approximately 18.8% expected move around the PDUFA date (from candidate file monitoring data). This suggests the options market is pricing in a moderately large binary outcome, consistent with market uncertainty about the approval probability. The implied move is somewhat below what pure binary PDUFAs typically price (~25-40% for pre-revenue biotechs), reflecting Auvelity's franchise value as a floor. Short interest declining from 3.40M to 2.84M with 5.8 days-to-cover.</w:t>
      </w:r>
    </w:p>
    <w:p>
      <w:pPr>
        <w:spacing w:after="120"/>
      </w:pPr>
      <w:r>
        <w:rPr>
          <w:rFonts w:ascii="Arial" w:cs="Arial" w:eastAsia="Arial" w:hAnsi="Arial"/>
          <w:b/>
          <w:bCs/>
          <w:sz w:val="22"/>
          <w:szCs w:val="22"/>
        </w:rPr>
        <w:t xml:space="preserve">Assessment: </w:t>
      </w:r>
      <w:r>
        <w:rPr>
          <w:rFonts w:ascii="Arial" w:cs="Arial" w:eastAsia="Arial" w:hAnsi="Arial"/>
          <w:sz w:val="22"/>
          <w:szCs w:val="22"/>
        </w:rPr>
        <w:t xml:space="preserve">NEUTRAL — Options market is pricing a meaningful but not extreme binary event, consistent with the thesis that approval is probable but not certain.</w:t>
      </w:r>
    </w:p>
    <w:p>
      <w:r>
        <w:br w:type="page"/>
      </w:r>
    </w:p>
    <w:p>
      <w:pPr>
        <w:pStyle w:val="Heading1"/>
        <w:spacing w:after="200" w:before="300"/>
      </w:pPr>
      <w:r>
        <w:rPr>
          <w:rFonts w:ascii="Arial" w:cs="Arial" w:eastAsia="Arial" w:hAnsi="Arial"/>
          <w:b/>
          <w:bCs/>
          <w:color w:val="2B5797"/>
          <w:sz w:val="32"/>
          <w:szCs w:val="32"/>
        </w:rPr>
        <w:t xml:space="preserve">6. Risk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760"/>
      </w:tblGrid>
      <w:tr>
        <w:tc>
          <w:tcPr>
            <w:tcW w:type="dxa" w:w="28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Risk</w:t>
            </w:r>
          </w:p>
        </w:tc>
        <w:tc>
          <w:tcPr>
            <w:tcW w:type="dxa" w:w="14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Probability</w:t>
            </w:r>
          </w:p>
        </w:tc>
        <w:tc>
          <w:tcPr>
            <w:tcW w:type="dxa" w:w="14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Impact</w:t>
            </w:r>
          </w:p>
        </w:tc>
        <w:tc>
          <w:tcPr>
            <w:tcW w:type="dxa" w:w="376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Mitigation / Monitor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ADVANCE-2 miss weighted heavily by FDA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CC6600"/>
                <w:sz w:val="20"/>
                <w:szCs w:val="20"/>
              </w:rPr>
              <w:t xml:space="preserve">Medium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CC0000"/>
                <w:sz w:val="20"/>
                <w:szCs w:val="20"/>
              </w:rPr>
              <w:t xml:space="preserve">High</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Monitor for CRL language citing 'insufficient evidence'; 3/4 positive trials is strong totality argument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Restrictive labeling (REMS, boxed warning)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Low-Medium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Medium</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Monitor label specifics post-approval; bupropion seizure risk in elderly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Brexpiprazole first-mover advantage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CC6600"/>
                <w:sz w:val="20"/>
                <w:szCs w:val="20"/>
              </w:rPr>
              <w:t xml:space="preserve">Medium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Medium</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Commercial execution risk, not regulatory risk; monitor formulary decisions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FDA AdCom called retroactively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Very Low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CC0000"/>
                <w:sz w:val="20"/>
                <w:szCs w:val="20"/>
              </w:rPr>
              <w:t xml:space="preserve">Very High</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Kill condition — immediate archive if announced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Price break below $165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CC0000"/>
                <w:sz w:val="20"/>
                <w:szCs w:val="20"/>
              </w:rPr>
              <w:t xml:space="preserve">High</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Score -3 de-rating; reassess thesis at that level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New safety signal in Auvelity post-marketing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CC0000"/>
                <w:sz w:val="20"/>
                <w:szCs w:val="20"/>
              </w:rPr>
              <w:t xml:space="preserve">High</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Monitor openFDA FAERS database for novel signals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Sell-side downgrade from major bank</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Medium</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Score -2; reassess. Zero Sell ratings currently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Short interest spike &gt;15%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Very Low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Medium</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Monitor biweekly FINRA reports; currently 6.96%</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CRL for reasons unrelated to efficacy (CMC, labeling)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CC0000"/>
                <w:sz w:val="20"/>
                <w:szCs w:val="20"/>
              </w:rPr>
              <w:t xml:space="preserve">Very High</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No signals detected; SUNOSI manufacturing history is clean</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Kill Conditions from Candidate File: </w:t>
      </w:r>
      <w:r>
        <w:rPr>
          <w:rFonts w:ascii="Arial" w:cs="Arial" w:eastAsia="Arial" w:hAnsi="Arial"/>
          <w:sz w:val="22"/>
          <w:szCs w:val="22"/>
        </w:rPr>
        <w:t xml:space="preserve">1) FDA AdCom announced; 2) Price break &lt;$165; 3) Price break &lt;$155 (instant archive); 4) New safety signal; 5) CRL or delay announcement; 6) Sell-side downgrade to &lt;$200 PT from top banks; 7) Short interest spike &gt;15%. All CLEAR as of April 13, 2026.</w:t>
      </w:r>
    </w:p>
    <w:p>
      <w:r>
        <w:br w:type="page"/>
      </w:r>
    </w:p>
    <w:p>
      <w:pPr>
        <w:pStyle w:val="Heading1"/>
        <w:spacing w:after="200" w:before="300"/>
      </w:pPr>
      <w:r>
        <w:rPr>
          <w:rFonts w:ascii="Arial" w:cs="Arial" w:eastAsia="Arial" w:hAnsi="Arial"/>
          <w:b/>
          <w:bCs/>
          <w:color w:val="2B5797"/>
          <w:sz w:val="32"/>
          <w:szCs w:val="32"/>
        </w:rPr>
        <w:t xml:space="preserve">7.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200"/>
        <w:gridCol w:w="2760"/>
      </w:tblGrid>
      <w:tr>
        <w:tc>
          <w:tcPr>
            <w:tcW w:type="dxa" w:w="18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Drug</w:t>
            </w:r>
          </w:p>
        </w:tc>
        <w:tc>
          <w:tcPr>
            <w:tcW w:type="dxa" w:w="18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Company</w:t>
            </w:r>
          </w:p>
        </w:tc>
        <w:tc>
          <w:tcPr>
            <w:tcW w:type="dxa" w:w="18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Mechanism</w:t>
            </w:r>
          </w:p>
        </w:tc>
        <w:tc>
          <w:tcPr>
            <w:tcW w:type="dxa" w:w="12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276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vs AXS-05</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Brexpiprazole (Rexulti)</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Otsuka/Lundbeck</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Atypical antipsychotic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Approved 2023</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Boxed warning (dementia mortality); modest efficacy; 2-3 week titration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Off-label antipsychotics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Various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Dopamine antagonists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Off-label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Boxed warnings; sedation; cognitive decline; falls; widely used despite risks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AXS-05 (Auvelity)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Axsome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NMDA antagonist + sigma-1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sNDA filed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Non-antipsychotic; no boxed warning expected; 3/4 P3 positive; faster onset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Masupirdine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Suven/Arena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5-HT6 antagonist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Phase 3</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Earlier stage; different mechanism; not yet filed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Xanomeline-trospium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Karuna/BMS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Muscarinic agonist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Approved for schizophrenia</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Not filed for ADA; would be off-label adaptation</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The ADA market is significantly underserved. With only brexpiprazole approved and carrying an antipsychotic boxed warning, there is substantial room for a well-tolerated non-antipsychotic option. AXS-05's mechanism (dextromethorphan + bupropion) is well-characterized from decades of clinical use, providing a differentiated safety narrative. The addressable market is approximately 3.25 million patients in the US alone, with peak sales estimates of $1.5-3.0B for AXS-05 across analyst models.</w:t>
      </w:r>
    </w:p>
    <w:p>
      <w:pPr>
        <w:pStyle w:val="Heading1"/>
        <w:spacing w:after="200" w:before="300"/>
      </w:pPr>
      <w:r>
        <w:rPr>
          <w:rFonts w:ascii="Arial" w:cs="Arial" w:eastAsia="Arial" w:hAnsi="Arial"/>
          <w:b/>
          <w:bCs/>
          <w:color w:val="2B5797"/>
          <w:sz w:val="32"/>
          <w:szCs w:val="32"/>
        </w:rPr>
        <w:t xml:space="preserve">8. Financial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234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FY2024</w:t>
            </w:r>
          </w:p>
        </w:tc>
        <w:tc>
          <w:tcPr>
            <w:tcW w:type="dxa" w:w="234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FY2025</w:t>
            </w:r>
          </w:p>
        </w:tc>
        <w:tc>
          <w:tcPr>
            <w:tcW w:type="dxa" w:w="234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Growth</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Total Revenue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$384M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$638.5M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+66%</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Auvelity Revenue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$291M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$507.1M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+74%</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SUNOSI Revenue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$93M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$124.8M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+34%</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SYMBRAVO Revenue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$6.6M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Launched Jun 2025</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Market Cap</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~$5B</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~$9.2B</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+84%</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Sales Force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300 reps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600 reps (target)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Doubling for ADA</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If ADA is approved, analyst models project peak sales of $1.5-3.0B for the indication. The existing Auvelity commercial infrastructure (specialty neurology/psychiatry reps with established prescriber relationships) provides a significant launch advantage. Q1 2026 earnings are scheduled for May 4, with guidance expected to incorporate the PDUFA outcome. Management expects gross-to-net discounts in the mid-50% range for early 2026 due to typical first-quarter dynamics.</w:t>
      </w:r>
    </w:p>
    <w:p>
      <w:r>
        <w:br w:type="page"/>
      </w:r>
    </w:p>
    <w:p>
      <w:pPr>
        <w:pStyle w:val="Heading1"/>
        <w:spacing w:after="200" w:before="300"/>
      </w:pPr>
      <w:r>
        <w:rPr>
          <w:rFonts w:ascii="Arial" w:cs="Arial" w:eastAsia="Arial" w:hAnsi="Arial"/>
          <w:b/>
          <w:bCs/>
          <w:color w:val="2B5797"/>
          <w:sz w:val="32"/>
          <w:szCs w:val="32"/>
        </w:rPr>
        <w:t xml:space="preserve">9. Conviction Assessment</w:t>
      </w:r>
    </w:p>
    <w:p>
      <w:pPr>
        <w:spacing w:after="120"/>
      </w:pPr>
      <w:r>
        <w:rPr>
          <w:rFonts w:ascii="Arial" w:cs="Arial" w:eastAsia="Arial" w:hAnsi="Arial"/>
          <w:b/>
          <w:bCs/>
          <w:sz w:val="22"/>
          <w:szCs w:val="22"/>
        </w:rPr>
        <w:t xml:space="preserve">Overall Assessment: BUY </w:t>
      </w:r>
      <w:r>
        <w:rPr>
          <w:rFonts w:ascii="Arial" w:cs="Arial" w:eastAsia="Arial" w:hAnsi="Arial"/>
          <w:sz w:val="22"/>
          <w:szCs w:val="22"/>
        </w:rPr>
        <w:t xml:space="preserve">(relative to thesis; this is not investment advice)</w:t>
      </w:r>
    </w:p>
    <w:p>
      <w:pPr>
        <w:spacing w:after="120"/>
      </w:pPr>
      <w:r>
        <w:rPr>
          <w:rFonts w:ascii="Arial" w:cs="Arial" w:eastAsia="Arial" w:hAnsi="Arial"/>
          <w:sz w:val="22"/>
          <w:szCs w:val="22"/>
        </w:rPr>
        <w:t xml:space="preserve"/>
      </w:r>
    </w:p>
    <w:p>
      <w:pPr>
        <w:pStyle w:val="Heading2"/>
        <w:spacing w:after="150" w:before="200"/>
      </w:pPr>
      <w:r>
        <w:rPr>
          <w:rFonts w:ascii="Arial" w:cs="Arial" w:eastAsia="Arial" w:hAnsi="Arial"/>
          <w:b/>
          <w:bCs/>
          <w:color w:val="2B5797"/>
          <w:sz w:val="26"/>
          <w:szCs w:val="26"/>
        </w:rPr>
        <w:t xml:space="preserve">Factors Supporting Conviction</w:t>
      </w:r>
    </w:p>
    <w:p>
      <w:pPr>
        <w:spacing w:after="120"/>
      </w:pPr>
      <w:r>
        <w:rPr>
          <w:rFonts w:ascii="Arial" w:cs="Arial" w:eastAsia="Arial" w:hAnsi="Arial"/>
          <w:sz w:val="22"/>
          <w:szCs w:val="22"/>
        </w:rPr>
        <w:t xml:space="preserve">1. Three of four Phase 3 trials hit primary endpoints — this is a strong package by FDA standards, especially with two relapse prevention trials both positive.</w:t>
      </w:r>
    </w:p>
    <w:p>
      <w:pPr>
        <w:spacing w:after="120"/>
      </w:pPr>
      <w:r>
        <w:rPr>
          <w:rFonts w:ascii="Arial" w:cs="Arial" w:eastAsia="Arial" w:hAnsi="Arial"/>
          <w:sz w:val="22"/>
          <w:szCs w:val="22"/>
        </w:rPr>
        <w:t xml:space="preserve">2. No Advisory Committee convened — the single strongest pre-decision positive signal. FDA bypassed external input, suggesting internal confidence.</w:t>
      </w:r>
    </w:p>
    <w:p>
      <w:pPr>
        <w:spacing w:after="120"/>
      </w:pPr>
      <w:r>
        <w:rPr>
          <w:rFonts w:ascii="Arial" w:cs="Arial" w:eastAsia="Arial" w:hAnsi="Arial"/>
          <w:sz w:val="22"/>
          <w:szCs w:val="22"/>
        </w:rPr>
        <w:t xml:space="preserve">3. Priority Review + Breakthrough Therapy designation — double expedited pathway indicates FDA recognition of both data quality and unmet need.</w:t>
      </w:r>
    </w:p>
    <w:p>
      <w:pPr>
        <w:spacing w:after="120"/>
      </w:pPr>
      <w:r>
        <w:rPr>
          <w:rFonts w:ascii="Arial" w:cs="Arial" w:eastAsia="Arial" w:hAnsi="Arial"/>
          <w:sz w:val="22"/>
          <w:szCs w:val="22"/>
        </w:rPr>
        <w:t xml:space="preserve">4. Non-antipsychotic mechanism — AXS-05 avoids the boxed warning for dementia-related mortality that constrains brexpiprazole adoption.</w:t>
      </w:r>
    </w:p>
    <w:p>
      <w:pPr>
        <w:spacing w:after="120"/>
      </w:pPr>
      <w:r>
        <w:rPr>
          <w:rFonts w:ascii="Arial" w:cs="Arial" w:eastAsia="Arial" w:hAnsi="Arial"/>
          <w:sz w:val="22"/>
          <w:szCs w:val="22"/>
        </w:rPr>
        <w:t xml:space="preserve">5. Large commercial safety database — Auvelity's 3+ years of post-marketing data in MDD exonerates major class-safety concerns.</w:t>
      </w:r>
    </w:p>
    <w:p>
      <w:pPr>
        <w:spacing w:after="120"/>
      </w:pPr>
      <w:r>
        <w:rPr>
          <w:rFonts w:ascii="Arial" w:cs="Arial" w:eastAsia="Arial" w:hAnsi="Arial"/>
          <w:sz w:val="22"/>
          <w:szCs w:val="22"/>
        </w:rPr>
        <w:t xml:space="preserve">6. Commercial preparation signals — doubling sales force, balipodect M&amp;A, Q1 earnings post-PDUFA timing — all consistent with management expecting approval.</w:t>
      </w:r>
    </w:p>
    <w:p>
      <w:pPr>
        <w:spacing w:after="120"/>
      </w:pPr>
      <w:r>
        <w:rPr>
          <w:rFonts w:ascii="Arial" w:cs="Arial" w:eastAsia="Arial" w:hAnsi="Arial"/>
          <w:sz w:val="22"/>
          <w:szCs w:val="22"/>
        </w:rPr>
        <w:t xml:space="preserve">7. Declining short interest (3.40M to 2.84M) — bears are de-risking, not building.</w:t>
      </w:r>
    </w:p>
    <w:p>
      <w:pPr>
        <w:spacing w:after="120"/>
      </w:pPr>
      <w:r>
        <w:rPr>
          <w:rFonts w:ascii="Arial" w:cs="Arial" w:eastAsia="Arial" w:hAnsi="Arial"/>
          <w:sz w:val="22"/>
          <w:szCs w:val="22"/>
        </w:rPr>
        <w:t xml:space="preserve"/>
      </w:r>
    </w:p>
    <w:p>
      <w:pPr>
        <w:pStyle w:val="Heading2"/>
        <w:spacing w:after="150" w:before="200"/>
      </w:pPr>
      <w:r>
        <w:rPr>
          <w:rFonts w:ascii="Arial" w:cs="Arial" w:eastAsia="Arial" w:hAnsi="Arial"/>
          <w:b/>
          <w:bCs/>
          <w:color w:val="2B5797"/>
          <w:sz w:val="26"/>
          <w:szCs w:val="26"/>
        </w:rPr>
        <w:t xml:space="preserve">Factors Undermining Conviction</w:t>
      </w:r>
    </w:p>
    <w:p>
      <w:pPr>
        <w:spacing w:after="120"/>
      </w:pPr>
      <w:r>
        <w:rPr>
          <w:rFonts w:ascii="Arial" w:cs="Arial" w:eastAsia="Arial" w:hAnsi="Arial"/>
          <w:sz w:val="22"/>
          <w:szCs w:val="22"/>
        </w:rPr>
        <w:t xml:space="preserve">1. ADVANCE-2 missed primary endpoint — the FDA has a credible path to CRL if the review division prioritizes the miss over the three hits.</w:t>
      </w:r>
    </w:p>
    <w:p>
      <w:pPr>
        <w:spacing w:after="120"/>
      </w:pPr>
      <w:r>
        <w:rPr>
          <w:rFonts w:ascii="Arial" w:cs="Arial" w:eastAsia="Arial" w:hAnsi="Arial"/>
          <w:sz w:val="22"/>
          <w:szCs w:val="22"/>
        </w:rPr>
        <w:t xml:space="preserve">2. Elderly population pharmacokinetics — bupropion seizure risk in frail elderly is a real concern that could result in restrictive labeling.</w:t>
      </w:r>
    </w:p>
    <w:p>
      <w:pPr>
        <w:spacing w:after="120"/>
      </w:pPr>
      <w:r>
        <w:rPr>
          <w:rFonts w:ascii="Arial" w:cs="Arial" w:eastAsia="Arial" w:hAnsi="Arial"/>
          <w:sz w:val="22"/>
          <w:szCs w:val="22"/>
        </w:rPr>
        <w:t xml:space="preserve">3. Stock price elevated (+12.3% 20-day drift to $178.11) — much of the approval probability is already priced in, compressing upside.</w:t>
      </w:r>
    </w:p>
    <w:p>
      <w:pPr>
        <w:spacing w:after="120"/>
      </w:pPr>
      <w:r>
        <w:rPr>
          <w:rFonts w:ascii="Arial" w:cs="Arial" w:eastAsia="Arial" w:hAnsi="Arial"/>
          <w:sz w:val="22"/>
          <w:szCs w:val="22"/>
        </w:rPr>
        <w:t xml:space="preserve">4. CEO options exercise ($6M, Feb) — while 10b5-1 planned near expiration, the timing 2 months pre-PDUFA is noteworthy.</w:t>
      </w:r>
    </w:p>
    <w:p>
      <w:pPr>
        <w:spacing w:after="120"/>
      </w:pPr>
      <w:r>
        <w:rPr>
          <w:rFonts w:ascii="Arial" w:cs="Arial" w:eastAsia="Arial" w:hAnsi="Arial"/>
          <w:sz w:val="22"/>
          <w:szCs w:val="22"/>
        </w:rPr>
        <w:t xml:space="preserve"/>
      </w:r>
    </w:p>
    <w:p>
      <w:pPr>
        <w:pStyle w:val="Heading2"/>
        <w:spacing w:after="150" w:before="200"/>
      </w:pPr>
      <w:r>
        <w:rPr>
          <w:rFonts w:ascii="Arial" w:cs="Arial" w:eastAsia="Arial" w:hAnsi="Arial"/>
          <w:b/>
          <w:bCs/>
          <w:color w:val="2B5797"/>
          <w:sz w:val="26"/>
          <w:szCs w:val="26"/>
        </w:rPr>
        <w:t xml:space="preserve">Recommended Monitoring Focus</w:t>
      </w:r>
    </w:p>
    <w:p>
      <w:pPr>
        <w:spacing w:after="120"/>
      </w:pPr>
      <w:r>
        <w:rPr>
          <w:rFonts w:ascii="Arial" w:cs="Arial" w:eastAsia="Arial" w:hAnsi="Arial"/>
          <w:sz w:val="22"/>
          <w:szCs w:val="22"/>
        </w:rPr>
        <w:t xml:space="preserve">Daily kill condition sweeps through PDUFA: EDGAR 8-K monitoring (CIK 0001579428), openFDA Auvelity AE database, Federal Register for AdCom announcements, option chain IV compression/expansion, price support at $165. Post-PDUFA: label specifics (dose, warnings, REMS), guidance at May 4 earnings.</w:t>
      </w:r>
    </w:p>
    <w:p>
      <w:r>
        <w:br w:type="page"/>
      </w:r>
    </w:p>
    <w:p>
      <w:pPr>
        <w:pStyle w:val="Heading1"/>
        <w:spacing w:after="200" w:before="300"/>
      </w:pPr>
      <w:r>
        <w:rPr>
          <w:rFonts w:ascii="Arial" w:cs="Arial" w:eastAsia="Arial" w:hAnsi="Arial"/>
          <w:b/>
          <w:bCs/>
          <w:color w:val="2B5797"/>
          <w:sz w:val="32"/>
          <w:szCs w:val="32"/>
        </w:rPr>
        <w:t xml:space="preserve">10. Sources</w:t>
      </w:r>
    </w:p>
    <w:p>
      <w:pPr>
        <w:pStyle w:val="Heading2"/>
        <w:spacing w:after="150" w:before="200"/>
      </w:pPr>
      <w:r>
        <w:rPr>
          <w:rFonts w:ascii="Arial" w:cs="Arial" w:eastAsia="Arial" w:hAnsi="Arial"/>
          <w:b/>
          <w:bCs/>
          <w:color w:val="2B5797"/>
          <w:sz w:val="26"/>
          <w:szCs w:val="26"/>
        </w:rPr>
        <w:t xml:space="preserve">Regulatory</w:t>
      </w:r>
    </w:p>
    <w:p>
      <w:pPr>
        <w:spacing w:after="80"/>
      </w:pPr>
      <w:hyperlink w:history="1" r:id="rIdtuyopot-unftgrid5kwq7">
        <w:r>
          <w:rPr>
            <w:rStyle w:val="Hyperlink"/>
            <w:rFonts w:ascii="Arial" w:cs="Arial" w:eastAsia="Arial" w:hAnsi="Arial"/>
            <w:sz w:val="20"/>
            <w:szCs w:val="20"/>
          </w:rPr>
          <w:t xml:space="preserve">FDA Accepts, Grants Priority Review to AXS-05 sNDA (HCPLive)</w:t>
        </w:r>
      </w:hyperlink>
    </w:p>
    <w:p>
      <w:pPr>
        <w:spacing w:after="80"/>
      </w:pPr>
      <w:hyperlink w:history="1" r:id="rIdkzsrcjkiai7x_-x5nldqs">
        <w:r>
          <w:rPr>
            <w:rStyle w:val="Hyperlink"/>
            <w:rFonts w:ascii="Arial" w:cs="Arial" w:eastAsia="Arial" w:hAnsi="Arial"/>
            <w:sz w:val="20"/>
            <w:szCs w:val="20"/>
          </w:rPr>
          <w:t xml:space="preserve">Axsome FDA Acceptance PR (GlobeNewsWire, Dec 2025)</w:t>
        </w:r>
      </w:hyperlink>
    </w:p>
    <w:p>
      <w:pPr>
        <w:spacing w:after="80"/>
      </w:pPr>
      <w:hyperlink w:history="1" r:id="rId3i-0_ie8jju9lgy28vsc_">
        <w:r>
          <w:rPr>
            <w:rStyle w:val="Hyperlink"/>
            <w:rFonts w:ascii="Arial" w:cs="Arial" w:eastAsia="Arial" w:hAnsi="Arial"/>
            <w:sz w:val="20"/>
            <w:szCs w:val="20"/>
          </w:rPr>
          <w:t xml:space="preserve">FDA Priority Review Designation (FDA.gov)</w:t>
        </w:r>
      </w:hyperlink>
    </w:p>
    <w:p>
      <w:pPr>
        <w:spacing w:after="80"/>
      </w:pPr>
      <w:hyperlink w:history="1" r:id="rIdy8_6tukv62clqrbxz61ik">
        <w:r>
          <w:rPr>
            <w:rStyle w:val="Hyperlink"/>
            <w:rFonts w:ascii="Arial" w:cs="Arial" w:eastAsia="Arial" w:hAnsi="Arial"/>
            <w:sz w:val="20"/>
            <w:szCs w:val="20"/>
          </w:rPr>
          <w:t xml:space="preserve">FDA Approves First ADA Drug (Brexpiprazole, 2023)</w:t>
        </w:r>
      </w:hyperlink>
    </w:p>
    <w:p>
      <w:pPr>
        <w:pStyle w:val="Heading2"/>
        <w:spacing w:after="150" w:before="200"/>
      </w:pPr>
      <w:r>
        <w:rPr>
          <w:rFonts w:ascii="Arial" w:cs="Arial" w:eastAsia="Arial" w:hAnsi="Arial"/>
          <w:b/>
          <w:bCs/>
          <w:color w:val="2B5797"/>
          <w:sz w:val="26"/>
          <w:szCs w:val="26"/>
        </w:rPr>
        <w:t xml:space="preserve">Clinical</w:t>
      </w:r>
    </w:p>
    <w:p>
      <w:pPr>
        <w:spacing w:after="80"/>
      </w:pPr>
      <w:hyperlink w:history="1" r:id="rIddopcxxa2bs3pl0kduqapc">
        <w:r>
          <w:rPr>
            <w:rStyle w:val="Hyperlink"/>
            <w:rFonts w:ascii="Arial" w:cs="Arial" w:eastAsia="Arial" w:hAnsi="Arial"/>
            <w:sz w:val="20"/>
            <w:szCs w:val="20"/>
          </w:rPr>
          <w:t xml:space="preserve">ACCORD Phase 3 Results (Neurology journal)</w:t>
        </w:r>
      </w:hyperlink>
    </w:p>
    <w:p>
      <w:pPr>
        <w:spacing w:after="80"/>
      </w:pPr>
      <w:hyperlink w:history="1" r:id="rIdqkadvvsozvqc2mw6xjtvm">
        <w:r>
          <w:rPr>
            <w:rStyle w:val="Hyperlink"/>
            <w:rFonts w:ascii="Arial" w:cs="Arial" w:eastAsia="Arial" w:hAnsi="Arial"/>
            <w:sz w:val="20"/>
            <w:szCs w:val="20"/>
          </w:rPr>
          <w:t xml:space="preserve">Brexpiprazole Phase 3 (JAMA Neurology)</w:t>
        </w:r>
      </w:hyperlink>
    </w:p>
    <w:p>
      <w:pPr>
        <w:spacing w:after="80"/>
      </w:pPr>
      <w:hyperlink w:history="1" r:id="rIdunpaqjw6mal7uuua2hrwu">
        <w:r>
          <w:rPr>
            <w:rStyle w:val="Hyperlink"/>
            <w:rFonts w:ascii="Arial" w:cs="Arial" w:eastAsia="Arial" w:hAnsi="Arial"/>
            <w:sz w:val="20"/>
            <w:szCs w:val="20"/>
          </w:rPr>
          <w:t xml:space="preserve">Brexpiprazole Review (PMC)</w:t>
        </w:r>
      </w:hyperlink>
    </w:p>
    <w:p>
      <w:pPr>
        <w:pStyle w:val="Heading2"/>
        <w:spacing w:after="150" w:before="200"/>
      </w:pPr>
      <w:r>
        <w:rPr>
          <w:rFonts w:ascii="Arial" w:cs="Arial" w:eastAsia="Arial" w:hAnsi="Arial"/>
          <w:b/>
          <w:bCs/>
          <w:color w:val="2B5797"/>
          <w:sz w:val="26"/>
          <w:szCs w:val="26"/>
        </w:rPr>
        <w:t xml:space="preserve">Financial</w:t>
      </w:r>
    </w:p>
    <w:p>
      <w:pPr>
        <w:spacing w:after="80"/>
      </w:pPr>
      <w:hyperlink w:history="1" r:id="rIdnpkudulrnm4u-b9r5jzzy">
        <w:r>
          <w:rPr>
            <w:rStyle w:val="Hyperlink"/>
            <w:rFonts w:ascii="Arial" w:cs="Arial" w:eastAsia="Arial" w:hAnsi="Arial"/>
            <w:sz w:val="20"/>
            <w:szCs w:val="20"/>
          </w:rPr>
          <w:t xml:space="preserve">Axsome Q4/FY2025 Results (GlobeNewsWire)</w:t>
        </w:r>
      </w:hyperlink>
    </w:p>
    <w:p>
      <w:pPr>
        <w:spacing w:after="80"/>
      </w:pPr>
      <w:hyperlink w:history="1" r:id="rIdxama2guvrdnyjatqvzpw9">
        <w:r>
          <w:rPr>
            <w:rStyle w:val="Hyperlink"/>
            <w:rFonts w:ascii="Arial" w:cs="Arial" w:eastAsia="Arial" w:hAnsi="Arial"/>
            <w:sz w:val="20"/>
            <w:szCs w:val="20"/>
          </w:rPr>
          <w:t xml:space="preserve">Axsome Preliminary FY2025 Revenue (StockTitan)</w:t>
        </w:r>
      </w:hyperlink>
    </w:p>
    <w:p>
      <w:pPr>
        <w:pStyle w:val="Heading2"/>
        <w:spacing w:after="150" w:before="200"/>
      </w:pPr>
      <w:r>
        <w:rPr>
          <w:rFonts w:ascii="Arial" w:cs="Arial" w:eastAsia="Arial" w:hAnsi="Arial"/>
          <w:b/>
          <w:bCs/>
          <w:color w:val="2B5797"/>
          <w:sz w:val="26"/>
          <w:szCs w:val="26"/>
        </w:rPr>
        <w:t xml:space="preserve">Corporate</w:t>
      </w:r>
    </w:p>
    <w:p>
      <w:pPr>
        <w:spacing w:after="80"/>
      </w:pPr>
      <w:hyperlink w:history="1" r:id="rIdexigyfllwqksqj0prydx4">
        <w:r>
          <w:rPr>
            <w:rStyle w:val="Hyperlink"/>
            <w:rFonts w:ascii="Arial" w:cs="Arial" w:eastAsia="Arial" w:hAnsi="Arial"/>
            <w:sz w:val="20"/>
            <w:szCs w:val="20"/>
          </w:rPr>
          <w:t xml:space="preserve">Balipodect Acquisition from Takeda (GlobeNewsWire)</w:t>
        </w:r>
      </w:hyperlink>
    </w:p>
    <w:p>
      <w:pPr>
        <w:spacing w:after="80"/>
      </w:pPr>
      <w:hyperlink w:history="1" r:id="rIdadggzlvwvllcb8acvlwmg">
        <w:r>
          <w:rPr>
            <w:rStyle w:val="Hyperlink"/>
            <w:rFonts w:ascii="Arial" w:cs="Arial" w:eastAsia="Arial" w:hAnsi="Arial"/>
            <w:sz w:val="20"/>
            <w:szCs w:val="20"/>
          </w:rPr>
          <w:t xml:space="preserve">SUNOSI Patent Settlement with Alkem (Yahoo Finance)</w:t>
        </w:r>
      </w:hyperlink>
    </w:p>
    <w:p>
      <w:pPr>
        <w:pStyle w:val="Heading2"/>
        <w:spacing w:after="150" w:before="200"/>
      </w:pPr>
      <w:r>
        <w:rPr>
          <w:rFonts w:ascii="Arial" w:cs="Arial" w:eastAsia="Arial" w:hAnsi="Arial"/>
          <w:b/>
          <w:bCs/>
          <w:color w:val="2B5797"/>
          <w:sz w:val="26"/>
          <w:szCs w:val="26"/>
        </w:rPr>
        <w:t xml:space="preserve">Litigation</w:t>
      </w:r>
    </w:p>
    <w:p>
      <w:pPr>
        <w:spacing w:after="80"/>
      </w:pPr>
      <w:hyperlink w:history="1" r:id="rId6rk9i4pba72w3hub6cm5u">
        <w:r>
          <w:rPr>
            <w:rStyle w:val="Hyperlink"/>
            <w:rFonts w:ascii="Arial" w:cs="Arial" w:eastAsia="Arial" w:hAnsi="Arial"/>
            <w:sz w:val="20"/>
            <w:szCs w:val="20"/>
          </w:rPr>
          <w:t xml:space="preserve">Securities Class Action $7.75M Settlement (Bloomberg Law)</w:t>
        </w:r>
      </w:hyperlink>
    </w:p>
    <w:p>
      <w:pPr>
        <w:pStyle w:val="Heading2"/>
        <w:spacing w:after="150" w:before="200"/>
      </w:pPr>
      <w:r>
        <w:rPr>
          <w:rFonts w:ascii="Arial" w:cs="Arial" w:eastAsia="Arial" w:hAnsi="Arial"/>
          <w:b/>
          <w:bCs/>
          <w:color w:val="2B5797"/>
          <w:sz w:val="26"/>
          <w:szCs w:val="26"/>
        </w:rPr>
        <w:t xml:space="preserve">Analyst &amp; Market Data</w:t>
      </w:r>
    </w:p>
    <w:p>
      <w:pPr>
        <w:spacing w:after="80"/>
      </w:pPr>
      <w:hyperlink w:history="1" r:id="rIdjrth-blzljqnogl048hzx">
        <w:r>
          <w:rPr>
            <w:rStyle w:val="Hyperlink"/>
            <w:rFonts w:ascii="Arial" w:cs="Arial" w:eastAsia="Arial" w:hAnsi="Arial"/>
            <w:sz w:val="20"/>
            <w:szCs w:val="20"/>
          </w:rPr>
          <w:t xml:space="preserve">AXSM Analyst Forecasts (TipRanks)</w:t>
        </w:r>
      </w:hyperlink>
    </w:p>
    <w:p>
      <w:pPr>
        <w:spacing w:after="80"/>
      </w:pPr>
      <w:hyperlink w:history="1" r:id="rId5tmvcnfnpyil6pkpurwyk">
        <w:r>
          <w:rPr>
            <w:rStyle w:val="Hyperlink"/>
            <w:rFonts w:ascii="Arial" w:cs="Arial" w:eastAsia="Arial" w:hAnsi="Arial"/>
            <w:sz w:val="20"/>
            <w:szCs w:val="20"/>
          </w:rPr>
          <w:t xml:space="preserve">AXSM Analyst Forecasts (MarketBeat)</w:t>
        </w:r>
      </w:hyperlink>
    </w:p>
    <w:p>
      <w:pPr>
        <w:spacing w:after="80"/>
      </w:pPr>
      <w:hyperlink w:history="1" r:id="rId_-dqdu_egjpxpz6ntmppv">
        <w:r>
          <w:rPr>
            <w:rStyle w:val="Hyperlink"/>
            <w:rFonts w:ascii="Arial" w:cs="Arial" w:eastAsia="Arial" w:hAnsi="Arial"/>
            <w:sz w:val="20"/>
            <w:szCs w:val="20"/>
          </w:rPr>
          <w:t xml:space="preserve">AXSM Short Interest (Fintel)</w:t>
        </w:r>
      </w:hyperlink>
    </w:p>
    <w:p>
      <w:pPr>
        <w:spacing w:after="80"/>
      </w:pPr>
      <w:hyperlink w:history="1" r:id="rId7jbyap4wdwhszzk1ph-vy">
        <w:r>
          <w:rPr>
            <w:rStyle w:val="Hyperlink"/>
            <w:rFonts w:ascii="Arial" w:cs="Arial" w:eastAsia="Arial" w:hAnsi="Arial"/>
            <w:sz w:val="20"/>
            <w:szCs w:val="20"/>
          </w:rPr>
          <w:t xml:space="preserve">AXSM Institutional Ownership (HedgeFollow)</w:t>
        </w:r>
      </w:hyperlink>
    </w:p>
    <w:p>
      <w:pPr>
        <w:pStyle w:val="Heading2"/>
        <w:spacing w:after="150" w:before="200"/>
      </w:pPr>
      <w:r>
        <w:rPr>
          <w:rFonts w:ascii="Arial" w:cs="Arial" w:eastAsia="Arial" w:hAnsi="Arial"/>
          <w:b/>
          <w:bCs/>
          <w:color w:val="2B5797"/>
          <w:sz w:val="26"/>
          <w:szCs w:val="26"/>
        </w:rPr>
        <w:t xml:space="preserve">FDA Statistics</w:t>
      </w:r>
    </w:p>
    <w:p>
      <w:pPr>
        <w:spacing w:after="80"/>
      </w:pPr>
      <w:hyperlink w:history="1" r:id="rIdg3--s2qtkzwva1p_-rtx1">
        <w:r>
          <w:rPr>
            <w:rStyle w:val="Hyperlink"/>
            <w:rFonts w:ascii="Arial" w:cs="Arial" w:eastAsia="Arial" w:hAnsi="Arial"/>
            <w:sz w:val="20"/>
            <w:szCs w:val="20"/>
          </w:rPr>
          <w:t xml:space="preserve">FDA Drug Approval Trends 2024-2025 (BLA Regulatory)</w:t>
        </w:r>
      </w:hyperlink>
    </w:p>
    <w:p>
      <w:pPr>
        <w:spacing w:after="80"/>
      </w:pPr>
      <w:hyperlink w:history="1" r:id="rIdm5kltl0ruir2ezhs0rfnq">
        <w:r>
          <w:rPr>
            <w:rStyle w:val="Hyperlink"/>
            <w:rFonts w:ascii="Arial" w:cs="Arial" w:eastAsia="Arial" w:hAnsi="Arial"/>
            <w:sz w:val="20"/>
            <w:szCs w:val="20"/>
          </w:rPr>
          <w:t xml:space="preserve">2024 New Drug Therapy Approvals Annual Report (FDA)</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2B5797"/>
      <w:sz w:val="32"/>
      <w:szCs w:val="32"/>
    </w:rPr>
  </w:style>
  <w:style w:type="paragraph" w:styleId="Heading2">
    <w:name w:val="Heading 2"/>
    <w:basedOn w:val="Normal"/>
    <w:next w:val="Normal"/>
    <w:qFormat/>
    <w:pPr>
      <w:spacing w:after="150" w:before="200"/>
      <w:outlineLvl w:val="1"/>
    </w:pPr>
    <w:rPr>
      <w:rFonts w:ascii="Arial" w:cs="Arial" w:eastAsia="Arial" w:hAnsi="Arial"/>
      <w:b/>
      <w:bCs/>
      <w:color w:val="2B579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uyopot-unftgrid5kwq7" Type="http://schemas.openxmlformats.org/officeDocument/2006/relationships/hyperlink" Target="https://www.hcplive.com/view/fda-accepts-grants-priority-review-to-axs-05-snda-for-alzheimer-s-disease-agitation" TargetMode="External"/><Relationship Id="rIdkzsrcjkiai7x_-x5nldqs" Type="http://schemas.openxmlformats.org/officeDocument/2006/relationships/hyperlink" Target="https://www.globenewswire.com/news-release/2025/12/31/3211743/33090/en/Axsome-Therapeutics-Announces-FDA-Acceptance-and-Priority-Review.html" TargetMode="External"/><Relationship Id="rId3i-0_ie8jju9lgy28vsc_" Type="http://schemas.openxmlformats.org/officeDocument/2006/relationships/hyperlink" Target="https://www.fda.gov/patients/fast-track-breakthrough-therapy-accelerated-approval-priority-review/priority-review" TargetMode="External"/><Relationship Id="rIdy8_6tukv62clqrbxz61ik" Type="http://schemas.openxmlformats.org/officeDocument/2006/relationships/hyperlink" Target="https://www.fda.gov/news-events/press-announcements/fda-approves-first-drug-treat-agitation-symptoms-associated-dementia-due-alzheimers-disease" TargetMode="External"/><Relationship Id="rIddopcxxa2bs3pl0kduqapc" Type="http://schemas.openxmlformats.org/officeDocument/2006/relationships/hyperlink" Target="https://www.neurology.org/doi/10.1212/WNL-.0000000000205634" TargetMode="External"/><Relationship Id="rIdqkadvvsozvqc2mw6xjtvm" Type="http://schemas.openxmlformats.org/officeDocument/2006/relationships/hyperlink" Target="https://jamanetwork.com/journals/jamaneurology/fullarticle/2811629" TargetMode="External"/><Relationship Id="rIdunpaqjw6mal7uuua2hrwu" Type="http://schemas.openxmlformats.org/officeDocument/2006/relationships/hyperlink" Target="https://pmc.ncbi.nlm.nih.gov/articles/PMC12441263/" TargetMode="External"/><Relationship Id="rIdnpkudulrnm4u-b9r5jzzy" Type="http://schemas.openxmlformats.org/officeDocument/2006/relationships/hyperlink" Target="https://www.globenewswire.com/news-release/2026/02/23/3242481/33090/en/Axsome-Therapeutics-Reports-Fourth-Quarter-and-Full-Year-2025.html" TargetMode="External"/><Relationship Id="rIdxama2guvrdnyjatqvzpw9" Type="http://schemas.openxmlformats.org/officeDocument/2006/relationships/hyperlink" Target="https://www.stocktitan.net/news/AXSM/axsome-therapeutics-provides-preliminary-fourth-quarter-and-full-i4ueru38gfu2.html" TargetMode="External"/><Relationship Id="rIdexigyfllwqksqj0prydx4" Type="http://schemas.openxmlformats.org/officeDocument/2006/relationships/hyperlink" Target="https://www.globenewswire.com/news-release/2026/04/01/3266474/33090/en/Axsome-Therapeutics-Acquires-Selective-PDE10A-Inhibitor-Balipodect.html" TargetMode="External"/><Relationship Id="rIdadggzlvwvllcb8acvlwmg" Type="http://schemas.openxmlformats.org/officeDocument/2006/relationships/hyperlink" Target="https://finance.yahoo.com/news/axsome-therapeutics-settles-sunosi-solriamfetol-120000886.html" TargetMode="External"/><Relationship Id="rId6rk9i4pba72w3hub6cm5u" Type="http://schemas.openxmlformats.org/officeDocument/2006/relationships/hyperlink" Target="https://news.bloomberglaw.com/securities-law/axsomes-7-75-million-investor-settlement-gets-court-sendoff" TargetMode="External"/><Relationship Id="rIdjrth-blzljqnogl048hzx" Type="http://schemas.openxmlformats.org/officeDocument/2006/relationships/hyperlink" Target="https://www.tipranks.com/stocks/axsm/forecast" TargetMode="External"/><Relationship Id="rId5tmvcnfnpyil6pkpurwyk" Type="http://schemas.openxmlformats.org/officeDocument/2006/relationships/hyperlink" Target="https://www.marketbeat.com/stocks/NASDAQ/AXSM/forecast/" TargetMode="External"/><Relationship Id="rId_-dqdu_egjpxpz6ntmppv" Type="http://schemas.openxmlformats.org/officeDocument/2006/relationships/hyperlink" Target="https://fintel.io/ss/us/axsm" TargetMode="External"/><Relationship Id="rId7jbyap4wdwhszzk1ph-vy" Type="http://schemas.openxmlformats.org/officeDocument/2006/relationships/hyperlink" Target="https://hedgefollow.com/stocks/AXSM" TargetMode="External"/><Relationship Id="rIdg3--s2qtkzwva1p_-rtx1" Type="http://schemas.openxmlformats.org/officeDocument/2006/relationships/hyperlink" Target="https://bla-regulatory.com/fda-drug-approval-trends-2024-2025/" TargetMode="External"/><Relationship Id="rIdm5kltl0ruir2ezhs0rfnq" Type="http://schemas.openxmlformats.org/officeDocument/2006/relationships/hyperlink" Target="https://www.fda.gov/files/drugs/published/new-drug-therapy-2025-annual-report.pdf" TargetMode="External"/><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2026-04-13T15:34:31.537Z</dcterms:created>
  <dcterms:modified xsi:type="dcterms:W3CDTF">2026-04-13T15:34:31.538Z</dcterms:modified>
</cp:coreProperties>
</file>

<file path=docProps/custom.xml><?xml version="1.0" encoding="utf-8"?>
<Properties xmlns="http://schemas.openxmlformats.org/officeDocument/2006/custom-properties" xmlns:vt="http://schemas.openxmlformats.org/officeDocument/2006/docPropsVTypes"/>
</file>