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72"/>
          <w:szCs w:val="72"/>
        </w:rPr>
        <w:t xml:space="preserve">TVTX</w:t>
      </w:r>
    </w:p>
    <w:p>
      <w:pPr>
        <w:spacing w:after="100"/>
        <w:jc w:val="center"/>
      </w:pPr>
      <w:r>
        <w:rPr>
          <w:rFonts w:ascii="Arial" w:cs="Arial" w:eastAsia="Arial" w:hAnsi="Arial"/>
          <w:color w:val="444444"/>
          <w:sz w:val="40"/>
          <w:szCs w:val="40"/>
        </w:rPr>
        <w:t xml:space="preserve">Deep Dive Research Report</w:t>
      </w:r>
    </w:p>
    <w:p>
      <w:pPr>
        <w:spacing w:after="400"/>
        <w:jc w:val="center"/>
      </w:pPr>
      <w:r>
        <w:rPr>
          <w:rFonts w:ascii="Arial" w:cs="Arial" w:eastAsia="Arial" w:hAnsi="Arial"/>
          <w:color w:val="666666"/>
          <w:sz w:val="28"/>
          <w:szCs w:val="28"/>
        </w:rPr>
        <w:t xml:space="preserve">Travere Therapeutics, Inc.</w:t>
      </w:r>
    </w:p>
    <w:p>
      <w:pPr>
        <w:spacing w:after="100"/>
        <w:jc w:val="center"/>
      </w:pPr>
      <w:r>
        <w:rPr>
          <w:rFonts w:ascii="Arial" w:cs="Arial" w:eastAsia="Arial" w:hAnsi="Arial"/>
          <w:color w:val="444444"/>
          <w:sz w:val="24"/>
          <w:szCs w:val="24"/>
        </w:rPr>
        <w:t xml:space="preserve">Catalyst: FILSPARI sNDA for FSGS (Traditional Approval)</w:t>
      </w:r>
    </w:p>
    <w:p>
      <w:pPr>
        <w:spacing w:after="100"/>
        <w:jc w:val="center"/>
      </w:pPr>
      <w:r>
        <w:rPr>
          <w:rFonts w:ascii="Arial" w:cs="Arial" w:eastAsia="Arial" w:hAnsi="Arial"/>
          <w:b/>
          <w:bCs/>
          <w:color w:val="2B5797"/>
          <w:sz w:val="24"/>
          <w:szCs w:val="24"/>
        </w:rPr>
        <w:t xml:space="preserve">PDUFA Date: April 13, 2026 (Decision Pending)</w:t>
      </w:r>
    </w:p>
    <w:p>
      <w:pPr>
        <w:spacing w:after="100"/>
        <w:jc w:val="center"/>
      </w:pPr>
      <w:r>
        <w:rPr>
          <w:rFonts w:ascii="Arial" w:cs="Arial" w:eastAsia="Arial" w:hAnsi="Arial"/>
          <w:color w:val="444444"/>
          <w:sz w:val="24"/>
          <w:szCs w:val="24"/>
        </w:rPr>
        <w:t xml:space="preserve">Score: 29.75 / 42.5</w:t>
      </w:r>
    </w:p>
    <w:p>
      <w:pPr>
        <w:spacing w:before="1500"/>
      </w:pPr>
    </w:p>
    <w:p>
      <w:pPr>
        <w:spacing w:after="100"/>
        <w:jc w:val="center"/>
      </w:pPr>
      <w:r>
        <w:rPr>
          <w:rFonts w:ascii="Arial" w:cs="Arial" w:eastAsia="Arial" w:hAnsi="Arial"/>
          <w:color w:val="888888"/>
          <w:sz w:val="22"/>
          <w:szCs w:val="22"/>
        </w:rPr>
        <w:t xml:space="preserve">Report Date: April 13, 2026</w:t>
      </w:r>
    </w:p>
    <w:p>
      <w:pPr>
        <w:jc w:val="center"/>
      </w:pPr>
      <w:r>
        <w:rPr>
          <w:rFonts w:ascii="Arial" w:cs="Arial" w:eastAsia="Arial" w:hAnsi="Arial"/>
          <w:i/>
          <w:iCs/>
          <w:color w:val="888888"/>
          <w:sz w:val="20"/>
          <w:szCs w:val="20"/>
        </w:rPr>
        <w:t xml:space="preserve">Automated Research Report — Investment Discovery System</w:t>
      </w:r>
    </w:p>
    <w:p>
      <w:r>
        <w:br w:type="page"/>
      </w:r>
    </w:p>
    <w:p>
      <w:pPr>
        <w:pStyle w:val="Heading1"/>
        <w:spacing w:after="200" w:before="300"/>
      </w:pPr>
      <w:r>
        <w:rPr>
          <w:rFonts w:ascii="Arial" w:cs="Arial" w:eastAsia="Arial" w:hAnsi="Arial"/>
          <w:b/>
          <w:bCs/>
          <w:color w:val="2B5797"/>
          <w:sz w:val="32"/>
          <w:szCs w:val="32"/>
        </w:rPr>
        <w:t xml:space="preserve">1. Executive Summary</w:t>
      </w:r>
    </w:p>
    <w:p>
      <w:pPr>
        <w:spacing w:after="120"/>
      </w:pPr>
      <w:r>
        <w:rPr>
          <w:rFonts w:ascii="Arial" w:cs="Arial" w:eastAsia="Arial" w:hAnsi="Arial"/>
          <w:sz w:val="22"/>
          <w:szCs w:val="22"/>
        </w:rPr>
        <w:t xml:space="preserve">Travere Therapeutics (NASDAQ: TVTX) faces an FDA decision (PDUFA April 13, 2026) for the supplemental NDA seeking traditional approval of FILSPARI (sparsentan) for focal segmental glomerulosclerosis (FSGS). If approved, FILSPARI would be the first and only FDA-approved treatment for FSGS, a rare kidney disease affecting approximately 40,000 patients in the US and a leading cause of kidney failure. The sNDA has Priority Review designation and no advisory committee was convened.</w:t>
      </w:r>
    </w:p>
    <w:p>
      <w:pPr>
        <w:spacing w:after="120"/>
      </w:pPr>
      <w:r>
        <w:rPr>
          <w:rFonts w:ascii="Arial" w:cs="Arial" w:eastAsia="Arial" w:hAnsi="Arial"/>
          <w:sz w:val="22"/>
          <w:szCs w:val="22"/>
        </w:rPr>
        <w:t xml:space="preserve">The PDUFA date is April 13, 2026 (Monday), a regular business day. The FDA decision is expected during normal business hours today. As of this report, no decision has been publicly announced. One web source references TVTX price at $38.21, above the $37.04 ten-year resistance level, which could indicate a positive outcome has leaked or is being priced in, but this is speculative.</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The REPL second CRL (April 10) provides critical context. TVTX diverged from REPL's -24.5% crash, holding steady at $31.44. The market is distinguishing between these two candidates — TVTX's fundamentals (NEJM data, label expansion for already-approved drug, no AdCom) are materially different from REPL's (single-arm trial, novel mechanism, prior CRL). This divergence is a mildly bullish signal.</w:t>
      </w:r>
    </w:p>
    <w:p>
      <w:pPr>
        <w:spacing w:after="120"/>
      </w:pPr>
      <w:r>
        <w:rPr>
          <w:rFonts w:ascii="Arial" w:cs="Arial" w:eastAsia="Arial" w:hAnsi="Arial"/>
          <w:b/>
          <w:bCs/>
          <w:sz w:val="22"/>
          <w:szCs w:val="22"/>
        </w:rPr>
        <w:t xml:space="preserve">Conviction assessment: </w:t>
      </w:r>
      <w:r>
        <w:rPr>
          <w:rFonts w:ascii="Arial" w:cs="Arial" w:eastAsia="Arial" w:hAnsi="Arial"/>
          <w:sz w:val="22"/>
          <w:szCs w:val="22"/>
        </w:rPr>
        <w:t xml:space="preserve">Web research is NEUTRAL-TO-BULLISH. The thesis is intact but the ADVANCE-2-equivalent concern here — the missed primary eGFR endpoint at 108 weeks — remains the key uncertainty.</w:t>
      </w:r>
    </w:p>
    <w:p>
      <w:pPr>
        <w:pStyle w:val="Heading2"/>
        <w:spacing w:after="150" w:before="200"/>
      </w:pPr>
      <w:r>
        <w:rPr>
          <w:rFonts w:ascii="Arial" w:cs="Arial" w:eastAsia="Arial" w:hAnsi="Arial"/>
          <w:b/>
          <w:bCs/>
          <w:color w:val="2B5797"/>
          <w:sz w:val="26"/>
          <w:szCs w:val="26"/>
        </w:rPr>
        <w:t xml:space="preserve">Top 3 Risks</w:t>
      </w:r>
    </w:p>
    <w:p>
      <w:pPr>
        <w:spacing w:after="120"/>
      </w:pPr>
      <w:r>
        <w:rPr>
          <w:rFonts w:ascii="Arial" w:cs="Arial" w:eastAsia="Arial" w:hAnsi="Arial"/>
          <w:sz w:val="22"/>
          <w:szCs w:val="22"/>
        </w:rPr>
        <w:t xml:space="preserve">1. DUPLEX primary eGFR endpoint miss — the FDA's request for additional clinical benefit characterization directly addresses this gap. If not resolved to FDA's satisfaction, CRL is possible.</w:t>
      </w:r>
    </w:p>
    <w:p>
      <w:pPr>
        <w:spacing w:after="120"/>
      </w:pPr>
      <w:r>
        <w:rPr>
          <w:rFonts w:ascii="Arial" w:cs="Arial" w:eastAsia="Arial" w:hAnsi="Arial"/>
          <w:sz w:val="22"/>
          <w:szCs w:val="22"/>
        </w:rPr>
        <w:t xml:space="preserve">2. Major Amendment extension uncertainty — the 3-month extension itself signals FDA scrutiny beyond routine, even if not safety-related.</w:t>
      </w:r>
    </w:p>
    <w:p>
      <w:pPr>
        <w:spacing w:after="120"/>
      </w:pPr>
      <w:r>
        <w:rPr>
          <w:rFonts w:ascii="Arial" w:cs="Arial" w:eastAsia="Arial" w:hAnsi="Arial"/>
          <w:sz w:val="22"/>
          <w:szCs w:val="22"/>
        </w:rPr>
        <w:t xml:space="preserve">3. Surrogate-to-clinical-outcome linkage — FDA may question whether proteinuria reduction alone is sufficient for traditional (not accelerated) approval without eGFR slope improvement.</w:t>
      </w:r>
    </w:p>
    <w:p>
      <w:pPr>
        <w:pStyle w:val="Heading2"/>
        <w:spacing w:after="150" w:before="200"/>
      </w:pPr>
      <w:r>
        <w:rPr>
          <w:rFonts w:ascii="Arial" w:cs="Arial" w:eastAsia="Arial" w:hAnsi="Arial"/>
          <w:b/>
          <w:bCs/>
          <w:color w:val="2B5797"/>
          <w:sz w:val="26"/>
          <w:szCs w:val="26"/>
        </w:rPr>
        <w:t xml:space="preserve">Top 3 Bullish Catalysts</w:t>
      </w:r>
    </w:p>
    <w:p>
      <w:pPr>
        <w:spacing w:after="120"/>
      </w:pPr>
      <w:r>
        <w:rPr>
          <w:rFonts w:ascii="Arial" w:cs="Arial" w:eastAsia="Arial" w:hAnsi="Arial"/>
          <w:sz w:val="22"/>
          <w:szCs w:val="22"/>
        </w:rPr>
        <w:t xml:space="preserve">1. No AdCom convened (waived September 2025) — stock gained 26% on this news, historically associated with &gt;80% approval probability.</w:t>
      </w:r>
    </w:p>
    <w:p>
      <w:pPr>
        <w:spacing w:after="120"/>
      </w:pPr>
      <w:r>
        <w:rPr>
          <w:rFonts w:ascii="Arial" w:cs="Arial" w:eastAsia="Arial" w:hAnsi="Arial"/>
          <w:sz w:val="22"/>
          <w:szCs w:val="22"/>
        </w:rPr>
        <w:t xml:space="preserve">2. First-in-class for FSGS — massive unmet need with zero approved therapies; FDA has strong incentive to approve.</w:t>
      </w:r>
    </w:p>
    <w:p>
      <w:pPr>
        <w:spacing w:after="120"/>
      </w:pPr>
      <w:r>
        <w:rPr>
          <w:rFonts w:ascii="Arial" w:cs="Arial" w:eastAsia="Arial" w:hAnsi="Arial"/>
          <w:sz w:val="22"/>
          <w:szCs w:val="22"/>
        </w:rPr>
        <w:t xml:space="preserve">3. FILSPARI commercial traction ($322M FY2025 IgAN revenue, +144% YoY) — de-risks company downside on CRL; this is not a pre-revenue binary.</w:t>
      </w:r>
    </w:p>
    <w:p>
      <w:r>
        <w:br w:type="page"/>
      </w:r>
    </w:p>
    <w:p>
      <w:pPr>
        <w:pStyle w:val="Heading1"/>
        <w:spacing w:after="200" w:before="300"/>
      </w:pPr>
      <w:r>
        <w:rPr>
          <w:rFonts w:ascii="Arial" w:cs="Arial" w:eastAsia="Arial" w:hAnsi="Arial"/>
          <w:b/>
          <w:bCs/>
          <w:color w:val="2B5797"/>
          <w:sz w:val="32"/>
          <w:szCs w:val="32"/>
        </w:rPr>
        <w:t xml:space="preserve">2.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Full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Travere Therapeutics, Inc.</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Ticker / Exchange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TVTX / NASDAQ</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ISIN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US89422G1067</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Market Cap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~$2.1-2.9B (varies with pre-PDUFA volatility)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Sector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Biotechnology — Rare Kidney Disease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52-Week Range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$12.91 — $42.13</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Recent Price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$28.96 (April 10 close); potential $38+ per one source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Analyst Coverage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13-18 analysts, Strong Buy consensus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Avg Daily Volume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~1.9M shares (~$57M dollar-volume)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FY2025 Revenue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$410.5M (US net product sales); FILSPARI $322M</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Cash Position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$322.8M; no near-term capital raise anticipated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Travere is a commercial-stage biopharmaceutical company focused on rare kidney diseases. FILSPARI (sparsentan) is its lead product, already approved for IgA nephropathy (IgAN) with accelerated approval converted to traditional approval. The FSGS sNDA represents a label expansion into a second kidney indication with zero existing FDA-approved competitors. CEO Eric Dube expressed 'very high' confidence in approvability on the Q4 2025 earnings call.</w:t>
      </w:r>
    </w:p>
    <w:p>
      <w:r>
        <w:br w:type="page"/>
      </w:r>
    </w:p>
    <w:p>
      <w:pPr>
        <w:pStyle w:val="Heading1"/>
        <w:spacing w:after="200" w:before="300"/>
      </w:pPr>
      <w:r>
        <w:rPr>
          <w:rFonts w:ascii="Arial" w:cs="Arial" w:eastAsia="Arial" w:hAnsi="Arial"/>
          <w:b/>
          <w:bCs/>
          <w:color w:val="2B5797"/>
          <w:sz w:val="32"/>
          <w:szCs w:val="32"/>
        </w:rPr>
        <w:t xml:space="preserve">3. Catalyst Analysis</w:t>
      </w:r>
    </w:p>
    <w:p>
      <w:pPr>
        <w:pStyle w:val="Heading2"/>
        <w:spacing w:after="150" w:before="200"/>
      </w:pPr>
      <w:r>
        <w:rPr>
          <w:rFonts w:ascii="Arial" w:cs="Arial" w:eastAsia="Arial" w:hAnsi="Arial"/>
          <w:b/>
          <w:bCs/>
          <w:color w:val="2B5797"/>
          <w:sz w:val="26"/>
          <w:szCs w:val="26"/>
        </w:rPr>
        <w:t xml:space="preserve">3.1 Upcoming Catalyst</w:t>
      </w:r>
    </w:p>
    <w:p>
      <w:pPr>
        <w:spacing w:after="120"/>
      </w:pPr>
      <w:r>
        <w:rPr>
          <w:rFonts w:ascii="Arial" w:cs="Arial" w:eastAsia="Arial" w:hAnsi="Arial"/>
          <w:sz w:val="22"/>
          <w:szCs w:val="22"/>
        </w:rPr>
        <w:t xml:space="preserve">The FDA PDUFA target action date is April 13, 2026 (Monday), a regular business day. The decision is expected during normal hours today. This is a supplemental NDA seeking traditional approval — FILSPARI is already FDA-approved for IgAN. If approved for FSGS, it would be the first and only FDA-approved treatment for the condition, addressing ~40,000 US patients.</w:t>
      </w:r>
    </w:p>
    <w:p>
      <w:pPr>
        <w:pStyle w:val="Heading2"/>
        <w:spacing w:after="150" w:before="200"/>
      </w:pPr>
      <w:r>
        <w:rPr>
          <w:rFonts w:ascii="Arial" w:cs="Arial" w:eastAsia="Arial" w:hAnsi="Arial"/>
          <w:b/>
          <w:bCs/>
          <w:color w:val="2B5797"/>
          <w:sz w:val="26"/>
          <w:szCs w:val="26"/>
        </w:rPr>
        <w:t xml:space="preserve">3.2 Historical Precedents</w:t>
      </w:r>
    </w:p>
    <w:p>
      <w:pPr>
        <w:spacing w:after="120"/>
      </w:pPr>
      <w:r>
        <w:rPr>
          <w:rFonts w:ascii="Arial" w:cs="Arial" w:eastAsia="Arial" w:hAnsi="Arial"/>
          <w:sz w:val="22"/>
          <w:szCs w:val="22"/>
        </w:rPr>
        <w:t xml:space="preserve">The DUPLEX trial's mixed results (positive proteinuria endpoint at 36 weeks, missed primary eGFR slope at 108 weeks) are the central question. The FDA's decision to request additional clinical benefit characterization via Major Amendment (triggering the 3-month extension from Jan 13 to Apr 13) suggests the agency is working through this data, not rejecting it outright. Historically, when the FDA requests additional data rather than issuing a CRL, the eventual outcome skews toward approval — but this is not guaranteed.</w:t>
      </w:r>
    </w:p>
    <w:p>
      <w:pPr>
        <w:spacing w:after="120"/>
      </w:pPr>
      <w:r>
        <w:rPr>
          <w:rFonts w:ascii="Arial" w:cs="Arial" w:eastAsia="Arial" w:hAnsi="Arial"/>
          <w:sz w:val="22"/>
          <w:szCs w:val="22"/>
        </w:rPr>
        <w:t xml:space="preserve">The FDA waived the advisory committee in September 2025, which triggered a 26% stock gain. Historical data suggests AdCom waivers correlate with &gt;80% approval probability — the FDA typically only bypasses external advisory input when the review division has sufficient internal confidence. However, the subsequent PDUFA extension partially walked back market confidence.</w:t>
      </w:r>
    </w:p>
    <w:p>
      <w:pPr>
        <w:pStyle w:val="Heading2"/>
        <w:spacing w:after="150" w:before="200"/>
      </w:pPr>
      <w:r>
        <w:rPr>
          <w:rFonts w:ascii="Arial" w:cs="Arial" w:eastAsia="Arial" w:hAnsi="Arial"/>
          <w:b/>
          <w:bCs/>
          <w:color w:val="2B5797"/>
          <w:sz w:val="26"/>
          <w:szCs w:val="26"/>
        </w:rPr>
        <w:t xml:space="preserve">3.3 Probability Assessment</w:t>
      </w:r>
    </w:p>
    <w:p>
      <w:pPr>
        <w:spacing w:after="120"/>
      </w:pPr>
      <w:r>
        <w:rPr>
          <w:rFonts w:ascii="Arial" w:cs="Arial" w:eastAsia="Arial" w:hAnsi="Arial"/>
          <w:sz w:val="22"/>
          <w:szCs w:val="22"/>
        </w:rPr>
        <w:t xml:space="preserve">Estimated approval probability: 55-65%. The lower bound reflects the genuine uncertainty around the missed eGFR primary endpoint and the FDA's explicit request for additional clinical benefit data. The upper bound reflects the AdCom waiver, Priority Review, NEJM publication of 2-year data, and the massive unmet need. The REPL divergence tape action is a mildly positive supplementary signal.</w:t>
      </w:r>
    </w:p>
    <w:p>
      <w:pPr>
        <w:pStyle w:val="Heading2"/>
        <w:spacing w:after="150" w:before="200"/>
      </w:pPr>
      <w:r>
        <w:rPr>
          <w:rFonts w:ascii="Arial" w:cs="Arial" w:eastAsia="Arial" w:hAnsi="Arial"/>
          <w:b/>
          <w:bCs/>
          <w:color w:val="2B5797"/>
          <w:sz w:val="26"/>
          <w:szCs w:val="26"/>
        </w:rPr>
        <w:t xml:space="preserve">3.4 Key DUPLEX Trial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1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Sparsentan</w:t>
            </w:r>
          </w:p>
        </w:tc>
        <w:tc>
          <w:tcPr>
            <w:tcW w:type="dxa" w:w="31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Irbesartan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eGFR Slope (108wk)</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 mL/min/1.73m²/yr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-5.7 mL/min/1.73m²/yr (NOT sig)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UPCR Change (108wk)</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from baseline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 from baseline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 Remission (108wk)</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 Remission (108wk)</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ESRD Events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Lower rate (favorable)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Higher rate</w:t>
            </w:r>
          </w:p>
        </w:tc>
      </w:tr>
    </w:tbl>
    <w:p>
      <w:r>
        <w:br w:type="page"/>
      </w:r>
    </w:p>
    <w:p>
      <w:pPr>
        <w:pStyle w:val="Heading1"/>
        <w:spacing w:after="200" w:before="300"/>
      </w:pPr>
      <w:r>
        <w:rPr>
          <w:rFonts w:ascii="Arial" w:cs="Arial" w:eastAsia="Arial" w:hAnsi="Arial"/>
          <w:b/>
          <w:bCs/>
          <w:color w:val="2B5797"/>
          <w:sz w:val="32"/>
          <w:szCs w:val="32"/>
        </w:rPr>
        <w:t xml:space="preserve">4. 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4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Weighted</w:t>
            </w:r>
          </w:p>
        </w:tc>
        <w:tc>
          <w:tcPr>
            <w:tcW w:type="dxa" w:w="4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Signal Strength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sNDA + Priority Review + No AdCom + NEJM publication + AdCom waiver. Offset by eGFR miss.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Clarity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Exact PDUFA date known: April 13, 2026. Binary.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 Asymmetry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PDUFA widely tracked. Enrichment (extension reason, AdCom waiver significance) adds modest edge.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Risk/Reward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Upside +20-40% on approval (first-in-class); downside -20-30% on CRL (IgAN revenue floors).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Edge Decay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PDUFA imminent — edge is at maximum compression.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Liquidity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$2.1B mcap, ~1.9M ADV, options market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Decision due today/tomorrow — immediate.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797"/>
                <w:sz w:val="20"/>
                <w:szCs w:val="20"/>
              </w:rPr>
              <w:t xml:space="preserve">29.75*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*Reduced from 30.5 baseline due to Apr 10 REPL-sympathy price action</w:t>
            </w:r>
          </w:p>
        </w:tc>
      </w:tr>
    </w:tbl>
    <w:p>
      <w:r>
        <w:br w:type="page"/>
      </w:r>
    </w:p>
    <w:p>
      <w:pPr>
        <w:pStyle w:val="Heading1"/>
        <w:spacing w:after="200" w:before="300"/>
      </w:pPr>
      <w:r>
        <w:rPr>
          <w:rFonts w:ascii="Arial" w:cs="Arial" w:eastAsia="Arial" w:hAnsi="Arial"/>
          <w:b/>
          <w:bCs/>
          <w:color w:val="2B5797"/>
          <w:sz w:val="32"/>
          <w:szCs w:val="32"/>
        </w:rPr>
        <w:t xml:space="preserve">5. Web Research Findings</w:t>
      </w:r>
    </w:p>
    <w:p>
      <w:pPr>
        <w:pStyle w:val="Heading2"/>
        <w:spacing w:after="150" w:before="200"/>
      </w:pPr>
      <w:r>
        <w:rPr>
          <w:rFonts w:ascii="Arial" w:cs="Arial" w:eastAsia="Arial" w:hAnsi="Arial"/>
          <w:b/>
          <w:bCs/>
          <w:color w:val="2B5797"/>
          <w:sz w:val="26"/>
          <w:szCs w:val="26"/>
        </w:rPr>
        <w:t xml:space="preserve">5.1 Recent News</w:t>
      </w:r>
    </w:p>
    <w:p>
      <w:pPr>
        <w:spacing w:after="120"/>
      </w:pPr>
      <w:r>
        <w:rPr>
          <w:rFonts w:ascii="Arial" w:cs="Arial" w:eastAsia="Arial" w:hAnsi="Arial"/>
          <w:sz w:val="22"/>
          <w:szCs w:val="22"/>
        </w:rPr>
        <w:t xml:space="preserve">Jan 13, 2026: FDA extended PDUFA from Jan 13 to Apr 13 due to Major Amendment (additional clinical benefit characterization, not safety/manufacturing). Feb 19, 2026: Q4/FY2025 earnings — FILSPARI $322M (+144% YoY), Q4 profit achieved. Apr 1, 2026: CEO Dube sold 60K shares via pre-planned 10b5-1. Apr 6, 2026: Director Baynes sold 10K shares via 10b5-1. Apr 10, 2026: REPL received second CRL for RP1 melanoma; TVTX held steady, diverging from biotech weakness.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No adverse regulatory signals. Insider sales are pre-planned. REPL CRL cross-read is not directly relevant to TVTX's fundamentals.</w:t>
      </w:r>
    </w:p>
    <w:p>
      <w:pPr>
        <w:pStyle w:val="Heading2"/>
        <w:spacing w:after="150" w:before="200"/>
      </w:pPr>
      <w:r>
        <w:rPr>
          <w:rFonts w:ascii="Arial" w:cs="Arial" w:eastAsia="Arial" w:hAnsi="Arial"/>
          <w:b/>
          <w:bCs/>
          <w:color w:val="2B5797"/>
          <w:sz w:val="26"/>
          <w:szCs w:val="26"/>
        </w:rPr>
        <w:t xml:space="preserve">5.2 Analyst Activity</w:t>
      </w:r>
    </w:p>
    <w:p>
      <w:pPr>
        <w:spacing w:after="120"/>
      </w:pPr>
      <w:r>
        <w:rPr>
          <w:rFonts w:ascii="Arial" w:cs="Arial" w:eastAsia="Arial" w:hAnsi="Arial"/>
          <w:sz w:val="22"/>
          <w:szCs w:val="22"/>
        </w:rPr>
        <w:t xml:space="preserve">Consensus: Strong Buy. 13-18 analysts covering. Average PT $36.62-$49.00 depending on source. JP Morgan most recent: Buy, $41 PT (March 25). Min PT $31 matches current price floor. No downgrades to Sell. Zero sell ratings among covering analysts. Consensus implies 30-70% upside from recent $28-32 trading range.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No analyst is bearish below current levels. Broad buy consensus with significant upside to price targets.</w:t>
      </w:r>
    </w:p>
    <w:p>
      <w:pPr>
        <w:pStyle w:val="Heading2"/>
        <w:spacing w:after="150" w:before="200"/>
      </w:pPr>
      <w:r>
        <w:rPr>
          <w:rFonts w:ascii="Arial" w:cs="Arial" w:eastAsia="Arial" w:hAnsi="Arial"/>
          <w:b/>
          <w:bCs/>
          <w:color w:val="2B5797"/>
          <w:sz w:val="26"/>
          <w:szCs w:val="26"/>
        </w:rPr>
        <w:t xml:space="preserve">5.3 SEC Filings</w:t>
      </w:r>
    </w:p>
    <w:p>
      <w:pPr>
        <w:spacing w:after="120"/>
      </w:pPr>
      <w:r>
        <w:rPr>
          <w:rFonts w:ascii="Arial" w:cs="Arial" w:eastAsia="Arial" w:hAnsi="Arial"/>
          <w:sz w:val="22"/>
          <w:szCs w:val="22"/>
        </w:rPr>
        <w:t xml:space="preserve">No 8-K filings since the January PDUFA extension referencing FDA communication. Insider transactions: CEO Dube 60K shares ($30.55-$31.46, 10b5-1, Apr 1), Director Baynes 10K shares ($33.00, 10b5-1, Apr 6), CLO Reed 10K shares ($30.00, 10b5-1, Apr 1). All pre-planned. Palisades Investment Partners purchased 137,768 shares (Apr 4, SC 13G) — institutional buying into the catalyst.</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Insider sales are noise (10b5-1 plans set months prior). Palisades accumulation is mildly bullish.</w:t>
      </w:r>
    </w:p>
    <w:p>
      <w:pPr>
        <w:pStyle w:val="Heading2"/>
        <w:spacing w:after="150" w:before="200"/>
      </w:pPr>
      <w:r>
        <w:rPr>
          <w:rFonts w:ascii="Arial" w:cs="Arial" w:eastAsia="Arial" w:hAnsi="Arial"/>
          <w:b/>
          <w:bCs/>
          <w:color w:val="2B5797"/>
          <w:sz w:val="26"/>
          <w:szCs w:val="26"/>
        </w:rPr>
        <w:t xml:space="preserve">5.4 FDA-Specific</w:t>
      </w:r>
    </w:p>
    <w:p>
      <w:pPr>
        <w:spacing w:after="120"/>
      </w:pPr>
      <w:r>
        <w:rPr>
          <w:rFonts w:ascii="Arial" w:cs="Arial" w:eastAsia="Arial" w:hAnsi="Arial"/>
          <w:sz w:val="22"/>
          <w:szCs w:val="22"/>
        </w:rPr>
        <w:t xml:space="preserve">AdCom waived September 2025 (not re-convened). PDUFA extension was for clinical benefit characterization only — no safety or manufacturing concerns. DUPLEX trial published in NEJM (highest-tier medical journal). Drug already has approved REMS for IgAN (REMS modification approved 2025). Two-year DUPLEX data showed lower ESRD rates vs control — this additional clinical benefit data is likely what FDA is weighing in its decision.</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NEUTRAL-TO-BULLISH — AdCom waiver is positive. Extension for benefit characterization is uncertain but not alarming.</w:t>
      </w:r>
    </w:p>
    <w:p>
      <w:pPr>
        <w:pStyle w:val="Heading2"/>
        <w:spacing w:after="150" w:before="200"/>
      </w:pPr>
      <w:r>
        <w:rPr>
          <w:rFonts w:ascii="Arial" w:cs="Arial" w:eastAsia="Arial" w:hAnsi="Arial"/>
          <w:b/>
          <w:bCs/>
          <w:color w:val="2B5797"/>
          <w:sz w:val="26"/>
          <w:szCs w:val="26"/>
        </w:rPr>
        <w:t xml:space="preserve">5.5 Litigation &amp; Regulatory</w:t>
      </w:r>
    </w:p>
    <w:p>
      <w:pPr>
        <w:spacing w:after="120"/>
      </w:pPr>
      <w:r>
        <w:rPr>
          <w:rFonts w:ascii="Arial" w:cs="Arial" w:eastAsia="Arial" w:hAnsi="Arial"/>
          <w:sz w:val="22"/>
          <w:szCs w:val="22"/>
        </w:rPr>
        <w:t xml:space="preserve">No litigation concerns identified. Clean regulatory history. REMS already in place and recently modified for IgAN. No SEC investigation or DOJ activity detected.</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Clean.</w:t>
      </w:r>
    </w:p>
    <w:p>
      <w:pPr>
        <w:pStyle w:val="Heading2"/>
        <w:spacing w:after="150" w:before="200"/>
      </w:pPr>
      <w:r>
        <w:rPr>
          <w:rFonts w:ascii="Arial" w:cs="Arial" w:eastAsia="Arial" w:hAnsi="Arial"/>
          <w:b/>
          <w:bCs/>
          <w:color w:val="2B5797"/>
          <w:sz w:val="26"/>
          <w:szCs w:val="26"/>
        </w:rPr>
        <w:t xml:space="preserve">5.6 Short Interest &amp; Sentiment</w:t>
      </w:r>
    </w:p>
    <w:p>
      <w:pPr>
        <w:spacing w:after="120"/>
      </w:pPr>
      <w:r>
        <w:rPr>
          <w:rFonts w:ascii="Arial" w:cs="Arial" w:eastAsia="Arial" w:hAnsi="Arial"/>
          <w:sz w:val="22"/>
          <w:szCs w:val="22"/>
        </w:rPr>
        <w:t xml:space="preserve">Short interest: ~11-14.6% of float (sources vary). SI increased from ~13% to 14.6% into the PDUFA window (per candidate file monitoring). This is elevated but not extreme. No unusual put buying detected in April (unusual put volume was detected in January 2026 around the original PDUFA date).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MILDLY BEARISH — Elevated short interest suggests some market participants are positioned for CRL. However, TVTX's divergence from REPL's crash argues against a crowded short thesis.</w:t>
      </w:r>
    </w:p>
    <w:p>
      <w:pPr>
        <w:pStyle w:val="Heading2"/>
        <w:spacing w:after="150" w:before="200"/>
      </w:pPr>
      <w:r>
        <w:rPr>
          <w:rFonts w:ascii="Arial" w:cs="Arial" w:eastAsia="Arial" w:hAnsi="Arial"/>
          <w:b/>
          <w:bCs/>
          <w:color w:val="2B5797"/>
          <w:sz w:val="26"/>
          <w:szCs w:val="26"/>
        </w:rPr>
        <w:t xml:space="preserve">5.7 Competitive Landscape</w:t>
      </w:r>
    </w:p>
    <w:p>
      <w:pPr>
        <w:spacing w:after="120"/>
      </w:pPr>
      <w:r>
        <w:rPr>
          <w:rFonts w:ascii="Arial" w:cs="Arial" w:eastAsia="Arial" w:hAnsi="Arial"/>
          <w:sz w:val="22"/>
          <w:szCs w:val="22"/>
        </w:rPr>
        <w:t xml:space="preserve">FSGS has ZERO FDA-approved treatments. This is the most favorable competitive landscape possible for a PDUFA candidate — the unmet need argument is maximal. Off-label treatments (ACE inhibitors, ARBs, corticosteroids, calcineurin inhibitors) are the current standard of care, with limited efficacy and significant side effects. If approved, FILSPARI would have exclusive first-mover advantage in a market of ~40,000 US patients.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STRONGLY BULLISH — No competition. First-in-class for a disease with zero approved drugs.</w:t>
      </w:r>
    </w:p>
    <w:p>
      <w:pPr>
        <w:pStyle w:val="Heading2"/>
        <w:spacing w:after="150" w:before="200"/>
      </w:pPr>
      <w:r>
        <w:rPr>
          <w:rFonts w:ascii="Arial" w:cs="Arial" w:eastAsia="Arial" w:hAnsi="Arial"/>
          <w:b/>
          <w:bCs/>
          <w:color w:val="2B5797"/>
          <w:sz w:val="26"/>
          <w:szCs w:val="26"/>
        </w:rPr>
        <w:t xml:space="preserve">5.8 Financial Health</w:t>
      </w:r>
    </w:p>
    <w:p>
      <w:pPr>
        <w:spacing w:after="120"/>
      </w:pPr>
      <w:r>
        <w:rPr>
          <w:rFonts w:ascii="Arial" w:cs="Arial" w:eastAsia="Arial" w:hAnsi="Arial"/>
          <w:sz w:val="22"/>
          <w:szCs w:val="22"/>
        </w:rPr>
        <w:t xml:space="preserve">FY2025 US net product sales: $410.5M. FILSPARI IgAN revenue: $322M (+144%). Q4 2025 achieved quarterly profitability. Cash: $322.8M. No near-term capital raise anticipated. Record Q4 new patient starts (908). Strong commercial execution even as additional IgAN competitors enter market.</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Not a pre-revenue binary. Commercial traction provides meaningful downside cushion.</w:t>
      </w:r>
    </w:p>
    <w:p>
      <w:pPr>
        <w:pStyle w:val="Heading2"/>
        <w:spacing w:after="150" w:before="200"/>
      </w:pPr>
      <w:r>
        <w:rPr>
          <w:rFonts w:ascii="Arial" w:cs="Arial" w:eastAsia="Arial" w:hAnsi="Arial"/>
          <w:b/>
          <w:bCs/>
          <w:color w:val="2B5797"/>
          <w:sz w:val="26"/>
          <w:szCs w:val="26"/>
        </w:rPr>
        <w:t xml:space="preserve">5.9 REPL Cross-Read</w:t>
      </w:r>
    </w:p>
    <w:p>
      <w:pPr>
        <w:spacing w:after="120"/>
      </w:pPr>
      <w:r>
        <w:rPr>
          <w:rFonts w:ascii="Arial" w:cs="Arial" w:eastAsia="Arial" w:hAnsi="Arial"/>
          <w:sz w:val="22"/>
          <w:szCs w:val="22"/>
        </w:rPr>
        <w:t xml:space="preserve">Replimune (REPL) received its second CRL on April 10 for RP1 melanoma. REPL crashed -24.5% on April 8 (pre-announcement pricing) and confirmed -0.3% on April 9. TVTX held $31.44-$31.68 through this period, diverging sharply. The market correctly distinguishes: TVTX has NEJM-published P3 data, label expansion for an already-approved drug, and a non-controversial mechanism; REPL had a single-arm trial, novel mechanism, and prior CRL history.</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MILDLY BULLISH — Price divergence suggests institutional holders are not treating TVTX as a sympathy-risk casualty.</w:t>
      </w:r>
    </w:p>
    <w:p>
      <w:r>
        <w:br w:type="page"/>
      </w:r>
    </w:p>
    <w:p>
      <w:pPr>
        <w:pStyle w:val="Heading1"/>
        <w:spacing w:after="200" w:before="300"/>
      </w:pPr>
      <w:r>
        <w:rPr>
          <w:rFonts w:ascii="Arial" w:cs="Arial" w:eastAsia="Arial" w:hAnsi="Arial"/>
          <w:b/>
          <w:bCs/>
          <w:color w:val="2B5797"/>
          <w:sz w:val="32"/>
          <w:szCs w:val="32"/>
        </w:rPr>
        <w:t xml:space="preserve">6.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CRL citing insufficient clinical benefit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Kill condition #1. eGFR miss is the FDA's strongest CRL 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PDUFA delay/further extension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Rare for sNDAs post-Major Amendment. Would itself be material.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Restrictive FSGS label (post-SoC-failure 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Would limit addressable market but approval still transformative.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 squeeze volatility on approval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14.6% SI could amplify upside move; caution on entry timing.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IgAN competition eroding base revenue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approved competitors. But Travere showing record demand despite competition.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Post-approval pricing pressure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FSGS is rare/orphan-like; pricing power is strong.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Kill Conditions: </w:t>
      </w:r>
      <w:r>
        <w:rPr>
          <w:rFonts w:ascii="Arial" w:cs="Arial" w:eastAsia="Arial" w:hAnsi="Arial"/>
          <w:sz w:val="22"/>
          <w:szCs w:val="22"/>
        </w:rPr>
        <w:t xml:space="preserve">1) CRL issued; 2) AdCom called retroactively; 3) New safety signal; 4) Stock exceeds analyst PT ceiling pre-PDUFA. All CLEAR as of April 13, 2026.</w:t>
      </w:r>
    </w:p>
    <w:p>
      <w:r>
        <w:br w:type="page"/>
      </w:r>
    </w:p>
    <w:p>
      <w:pPr>
        <w:pStyle w:val="Heading1"/>
        <w:spacing w:after="200" w:before="300"/>
      </w:pPr>
      <w:r>
        <w:rPr>
          <w:rFonts w:ascii="Arial" w:cs="Arial" w:eastAsia="Arial" w:hAnsi="Arial"/>
          <w:b/>
          <w:bCs/>
          <w:color w:val="2B5797"/>
          <w:sz w:val="32"/>
          <w:szCs w:val="32"/>
        </w:rPr>
        <w:t xml:space="preserve">7. Conviction Assessment</w:t>
      </w:r>
    </w:p>
    <w:p>
      <w:pPr>
        <w:spacing w:after="120"/>
      </w:pPr>
      <w:r>
        <w:rPr>
          <w:rFonts w:ascii="Arial" w:cs="Arial" w:eastAsia="Arial" w:hAnsi="Arial"/>
          <w:b/>
          <w:bCs/>
          <w:sz w:val="22"/>
          <w:szCs w:val="22"/>
        </w:rPr>
        <w:t xml:space="preserve">Overall Assessment: BUY </w:t>
      </w:r>
      <w:r>
        <w:rPr>
          <w:rFonts w:ascii="Arial" w:cs="Arial" w:eastAsia="Arial" w:hAnsi="Arial"/>
          <w:sz w:val="22"/>
          <w:szCs w:val="22"/>
        </w:rPr>
        <w:t xml:space="preserve">(relative to thesis; this is not investment advice)</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Supporting Factors</w:t>
      </w:r>
    </w:p>
    <w:p>
      <w:pPr>
        <w:spacing w:after="120"/>
      </w:pPr>
      <w:r>
        <w:rPr>
          <w:rFonts w:ascii="Arial" w:cs="Arial" w:eastAsia="Arial" w:hAnsi="Arial"/>
          <w:sz w:val="22"/>
          <w:szCs w:val="22"/>
        </w:rPr>
        <w:t xml:space="preserve">1. First-in-class for FSGS — zero approved competitors, massive unmet need.</w:t>
      </w:r>
    </w:p>
    <w:p>
      <w:pPr>
        <w:spacing w:after="120"/>
      </w:pPr>
      <w:r>
        <w:rPr>
          <w:rFonts w:ascii="Arial" w:cs="Arial" w:eastAsia="Arial" w:hAnsi="Arial"/>
          <w:sz w:val="22"/>
          <w:szCs w:val="22"/>
        </w:rPr>
        <w:t xml:space="preserve">2. AdCom waived — strongest pre-decision positive signal, historically &gt;80% approval correlation.</w:t>
      </w:r>
    </w:p>
    <w:p>
      <w:pPr>
        <w:spacing w:after="120"/>
      </w:pPr>
      <w:r>
        <w:rPr>
          <w:rFonts w:ascii="Arial" w:cs="Arial" w:eastAsia="Arial" w:hAnsi="Arial"/>
          <w:sz w:val="22"/>
          <w:szCs w:val="22"/>
        </w:rPr>
        <w:t xml:space="preserve">3. NEJM-published Phase 3 data — highest-tier journal publication adds regulatory credibility.</w:t>
      </w:r>
    </w:p>
    <w:p>
      <w:pPr>
        <w:spacing w:after="120"/>
      </w:pPr>
      <w:r>
        <w:rPr>
          <w:rFonts w:ascii="Arial" w:cs="Arial" w:eastAsia="Arial" w:hAnsi="Arial"/>
          <w:sz w:val="22"/>
          <w:szCs w:val="22"/>
        </w:rPr>
        <w:t xml:space="preserve">4. Proteinuria reduction + lower ESRD rates — even without eGFR slope significance, the clinical benefit profile has substance.</w:t>
      </w:r>
    </w:p>
    <w:p>
      <w:pPr>
        <w:spacing w:after="120"/>
      </w:pPr>
      <w:r>
        <w:rPr>
          <w:rFonts w:ascii="Arial" w:cs="Arial" w:eastAsia="Arial" w:hAnsi="Arial"/>
          <w:sz w:val="22"/>
          <w:szCs w:val="22"/>
        </w:rPr>
        <w:t xml:space="preserve">5. Commercial traction ($322M FY2025) — not a pre-revenue binary; CRL downside is limited to -20-30%.</w:t>
      </w:r>
    </w:p>
    <w:p>
      <w:pPr>
        <w:spacing w:after="120"/>
      </w:pPr>
      <w:r>
        <w:rPr>
          <w:rFonts w:ascii="Arial" w:cs="Arial" w:eastAsia="Arial" w:hAnsi="Arial"/>
          <w:sz w:val="22"/>
          <w:szCs w:val="22"/>
        </w:rPr>
        <w:t xml:space="preserve">6. REPL divergence — market distinguishing TVTX fundamentals from sector weakness.</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Undermining Factors</w:t>
      </w:r>
    </w:p>
    <w:p>
      <w:pPr>
        <w:spacing w:after="120"/>
      </w:pPr>
      <w:r>
        <w:rPr>
          <w:rFonts w:ascii="Arial" w:cs="Arial" w:eastAsia="Arial" w:hAnsi="Arial"/>
          <w:sz w:val="22"/>
          <w:szCs w:val="22"/>
        </w:rPr>
        <w:t xml:space="preserve">1. Missed primary eGFR endpoint — the single most important risk factor, directly addressed by the Major Amendment extension.</w:t>
      </w:r>
    </w:p>
    <w:p>
      <w:pPr>
        <w:spacing w:after="120"/>
      </w:pPr>
      <w:r>
        <w:rPr>
          <w:rFonts w:ascii="Arial" w:cs="Arial" w:eastAsia="Arial" w:hAnsi="Arial"/>
          <w:sz w:val="22"/>
          <w:szCs w:val="22"/>
        </w:rPr>
        <w:t xml:space="preserve">2. Major Amendment extension — signals additional FDA scrutiny, even if not safety-related.</w:t>
      </w:r>
    </w:p>
    <w:p>
      <w:pPr>
        <w:spacing w:after="120"/>
      </w:pPr>
      <w:r>
        <w:rPr>
          <w:rFonts w:ascii="Arial" w:cs="Arial" w:eastAsia="Arial" w:hAnsi="Arial"/>
          <w:sz w:val="22"/>
          <w:szCs w:val="22"/>
        </w:rPr>
        <w:t xml:space="preserve">3. Multiple insider sales pre-PDUFA — all 10b5-1, but three executives selling in the same window is noteworthy.</w:t>
      </w:r>
    </w:p>
    <w:p>
      <w:pPr>
        <w:spacing w:after="120"/>
      </w:pPr>
      <w:r>
        <w:rPr>
          <w:rFonts w:ascii="Arial" w:cs="Arial" w:eastAsia="Arial" w:hAnsi="Arial"/>
          <w:sz w:val="22"/>
          <w:szCs w:val="22"/>
        </w:rPr>
        <w:t xml:space="preserve">4. Elevated short interest (14.6%) — some market participants are positioned for CRL.</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Monitoring Focus</w:t>
      </w:r>
    </w:p>
    <w:p>
      <w:pPr>
        <w:spacing w:after="120"/>
      </w:pPr>
      <w:r>
        <w:rPr>
          <w:rFonts w:ascii="Arial" w:cs="Arial" w:eastAsia="Arial" w:hAnsi="Arial"/>
          <w:sz w:val="22"/>
          <w:szCs w:val="22"/>
        </w:rPr>
        <w:t xml:space="preserve">Immediate: Monitor today (April 13) for FDA decision announcement via Travere IR, FDA press releases, and EDGAR for 8-K. Watch intraday price action for decision signal. Post-decision: if approved, monitor label specifics (all-comers vs post-failure), launch timeline, revenue guidance.</w:t>
      </w:r>
    </w:p>
    <w:p>
      <w:r>
        <w:br w:type="page"/>
      </w:r>
    </w:p>
    <w:p>
      <w:pPr>
        <w:pStyle w:val="Heading1"/>
        <w:spacing w:after="200" w:before="300"/>
      </w:pPr>
      <w:r>
        <w:rPr>
          <w:rFonts w:ascii="Arial" w:cs="Arial" w:eastAsia="Arial" w:hAnsi="Arial"/>
          <w:b/>
          <w:bCs/>
          <w:color w:val="2B5797"/>
          <w:sz w:val="32"/>
          <w:szCs w:val="32"/>
        </w:rPr>
        <w:t xml:space="preserve">8. Sources</w:t>
      </w:r>
    </w:p>
    <w:p>
      <w:pPr>
        <w:pStyle w:val="Heading2"/>
        <w:spacing w:after="150" w:before="200"/>
      </w:pPr>
      <w:r>
        <w:rPr>
          <w:rFonts w:ascii="Arial" w:cs="Arial" w:eastAsia="Arial" w:hAnsi="Arial"/>
          <w:b/>
          <w:bCs/>
          <w:color w:val="2B5797"/>
          <w:sz w:val="26"/>
          <w:szCs w:val="26"/>
        </w:rPr>
        <w:t xml:space="preserve">Regulatory</w:t>
      </w:r>
    </w:p>
    <w:p>
      <w:pPr>
        <w:spacing w:after="80"/>
      </w:pPr>
      <w:hyperlink w:history="1" r:id="rId4fymzqw_8swy3mgi5zn-a">
        <w:r>
          <w:rPr>
            <w:rStyle w:val="Hyperlink"/>
            <w:rFonts w:ascii="Arial" w:cs="Arial" w:eastAsia="Arial" w:hAnsi="Arial"/>
            <w:sz w:val="20"/>
            <w:szCs w:val="20"/>
          </w:rPr>
          <w:t xml:space="preserve">Travere IR: FDA extends FILSPARI FSGS review to Apr 13</w:t>
        </w:r>
      </w:hyperlink>
    </w:p>
    <w:p>
      <w:pPr>
        <w:spacing w:after="80"/>
      </w:pPr>
      <w:hyperlink w:history="1" r:id="rIdijwtnoaw01qfc_m_tkp-a">
        <w:r>
          <w:rPr>
            <w:rStyle w:val="Hyperlink"/>
            <w:rFonts w:ascii="Arial" w:cs="Arial" w:eastAsia="Arial" w:hAnsi="Arial"/>
            <w:sz w:val="20"/>
            <w:szCs w:val="20"/>
          </w:rPr>
          <w:t xml:space="preserve">Travere IR: FDA accepts sNDA for FSGS</w:t>
        </w:r>
      </w:hyperlink>
    </w:p>
    <w:p>
      <w:pPr>
        <w:spacing w:after="80"/>
      </w:pPr>
      <w:hyperlink w:history="1" r:id="rId-xzeiacazwy3nzmpgwx4o">
        <w:r>
          <w:rPr>
            <w:rStyle w:val="Hyperlink"/>
            <w:rFonts w:ascii="Arial" w:cs="Arial" w:eastAsia="Arial" w:hAnsi="Arial"/>
            <w:sz w:val="20"/>
            <w:szCs w:val="20"/>
          </w:rPr>
          <w:t xml:space="preserve">TVTX stock soars as FDA waives AdCom (Yahoo Finance)</w:t>
        </w:r>
      </w:hyperlink>
    </w:p>
    <w:p>
      <w:pPr>
        <w:pStyle w:val="Heading2"/>
        <w:spacing w:after="150" w:before="200"/>
      </w:pPr>
      <w:r>
        <w:rPr>
          <w:rFonts w:ascii="Arial" w:cs="Arial" w:eastAsia="Arial" w:hAnsi="Arial"/>
          <w:b/>
          <w:bCs/>
          <w:color w:val="2B5797"/>
          <w:sz w:val="26"/>
          <w:szCs w:val="26"/>
        </w:rPr>
        <w:t xml:space="preserve">Clinical</w:t>
      </w:r>
    </w:p>
    <w:p>
      <w:pPr>
        <w:spacing w:after="80"/>
      </w:pPr>
      <w:hyperlink w:history="1" r:id="rIdhocl9ckms6habquohhkn9">
        <w:r>
          <w:rPr>
            <w:rStyle w:val="Hyperlink"/>
            <w:rFonts w:ascii="Arial" w:cs="Arial" w:eastAsia="Arial" w:hAnsi="Arial"/>
            <w:sz w:val="20"/>
            <w:szCs w:val="20"/>
          </w:rPr>
          <w:t xml:space="preserve">Sparsentan vs Irbesartan in FSGS — DUPLEX (NEJM)</w:t>
        </w:r>
      </w:hyperlink>
    </w:p>
    <w:p>
      <w:pPr>
        <w:spacing w:after="80"/>
      </w:pPr>
      <w:hyperlink w:history="1" r:id="rIdoddnc3swnb08sfhsex-km">
        <w:r>
          <w:rPr>
            <w:rStyle w:val="Hyperlink"/>
            <w:rFonts w:ascii="Arial" w:cs="Arial" w:eastAsia="Arial" w:hAnsi="Arial"/>
            <w:sz w:val="20"/>
            <w:szCs w:val="20"/>
          </w:rPr>
          <w:t xml:space="preserve">DUPLEX proteinuria remission data (Travere Medical Affairs)</w:t>
        </w:r>
      </w:hyperlink>
    </w:p>
    <w:p>
      <w:pPr>
        <w:pStyle w:val="Heading2"/>
        <w:spacing w:after="150" w:before="200"/>
      </w:pPr>
      <w:r>
        <w:rPr>
          <w:rFonts w:ascii="Arial" w:cs="Arial" w:eastAsia="Arial" w:hAnsi="Arial"/>
          <w:b/>
          <w:bCs/>
          <w:color w:val="2B5797"/>
          <w:sz w:val="26"/>
          <w:szCs w:val="26"/>
        </w:rPr>
        <w:t xml:space="preserve">Financial</w:t>
      </w:r>
    </w:p>
    <w:p>
      <w:pPr>
        <w:spacing w:after="80"/>
      </w:pPr>
      <w:hyperlink w:history="1" r:id="rId0ajk897kbamsuzejeadfy">
        <w:r>
          <w:rPr>
            <w:rStyle w:val="Hyperlink"/>
            <w:rFonts w:ascii="Arial" w:cs="Arial" w:eastAsia="Arial" w:hAnsi="Arial"/>
            <w:sz w:val="20"/>
            <w:szCs w:val="20"/>
          </w:rPr>
          <w:t xml:space="preserve">Travere Q4/FY2025 Financial Results (BusinessWire)</w:t>
        </w:r>
      </w:hyperlink>
    </w:p>
    <w:p>
      <w:pPr>
        <w:spacing w:after="80"/>
      </w:pPr>
      <w:hyperlink w:history="1" r:id="rId4rynydbmutjlohh502suq">
        <w:r>
          <w:rPr>
            <w:rStyle w:val="Hyperlink"/>
            <w:rFonts w:ascii="Arial" w:cs="Arial" w:eastAsia="Arial" w:hAnsi="Arial"/>
            <w:sz w:val="20"/>
            <w:szCs w:val="20"/>
          </w:rPr>
          <w:t xml:space="preserve">Travere 2025 results: $322M FILSPARI sales (StockTitan)</w:t>
        </w:r>
      </w:hyperlink>
    </w:p>
    <w:p>
      <w:pPr>
        <w:pStyle w:val="Heading2"/>
        <w:spacing w:after="150" w:before="200"/>
      </w:pPr>
      <w:r>
        <w:rPr>
          <w:rFonts w:ascii="Arial" w:cs="Arial" w:eastAsia="Arial" w:hAnsi="Arial"/>
          <w:b/>
          <w:bCs/>
          <w:color w:val="2B5797"/>
          <w:sz w:val="26"/>
          <w:szCs w:val="26"/>
        </w:rPr>
        <w:t xml:space="preserve">Insider &amp; Institutional</w:t>
      </w:r>
    </w:p>
    <w:p>
      <w:pPr>
        <w:spacing w:after="80"/>
      </w:pPr>
      <w:hyperlink w:history="1" r:id="rIdrvi3a0y-r_bfgwotlwleg">
        <w:r>
          <w:rPr>
            <w:rStyle w:val="Hyperlink"/>
            <w:rFonts w:ascii="Arial" w:cs="Arial" w:eastAsia="Arial" w:hAnsi="Arial"/>
            <w:sz w:val="20"/>
            <w:szCs w:val="20"/>
          </w:rPr>
          <w:t xml:space="preserve">CEO Dube 60K share sale (StockTitan Form 4)</w:t>
        </w:r>
      </w:hyperlink>
    </w:p>
    <w:p>
      <w:pPr>
        <w:spacing w:after="80"/>
      </w:pPr>
      <w:hyperlink w:history="1" r:id="rIdvyfcpck0irzrhx2oqc8en">
        <w:r>
          <w:rPr>
            <w:rStyle w:val="Hyperlink"/>
            <w:rFonts w:ascii="Arial" w:cs="Arial" w:eastAsia="Arial" w:hAnsi="Arial"/>
            <w:sz w:val="20"/>
            <w:szCs w:val="20"/>
          </w:rPr>
          <w:t xml:space="preserve">Director Baynes $330K sale (American Market News)</w:t>
        </w:r>
      </w:hyperlink>
    </w:p>
    <w:p>
      <w:pPr>
        <w:spacing w:after="80"/>
      </w:pPr>
      <w:hyperlink w:history="1" r:id="rId8ix51rzclxs8gm_0ycglq">
        <w:r>
          <w:rPr>
            <w:rStyle w:val="Hyperlink"/>
            <w:rFonts w:ascii="Arial" w:cs="Arial" w:eastAsia="Arial" w:hAnsi="Arial"/>
            <w:sz w:val="20"/>
            <w:szCs w:val="20"/>
          </w:rPr>
          <w:t xml:space="preserve">Palisades Investment Partners 137K share purchase (DailyPolitical)</w:t>
        </w:r>
      </w:hyperlink>
    </w:p>
    <w:p>
      <w:pPr>
        <w:pStyle w:val="Heading2"/>
        <w:spacing w:after="150" w:before="200"/>
      </w:pPr>
      <w:r>
        <w:rPr>
          <w:rFonts w:ascii="Arial" w:cs="Arial" w:eastAsia="Arial" w:hAnsi="Arial"/>
          <w:b/>
          <w:bCs/>
          <w:color w:val="2B5797"/>
          <w:sz w:val="26"/>
          <w:szCs w:val="26"/>
        </w:rPr>
        <w:t xml:space="preserve">Cross-Read</w:t>
      </w:r>
    </w:p>
    <w:p>
      <w:pPr>
        <w:spacing w:after="80"/>
      </w:pPr>
      <w:hyperlink w:history="1" r:id="rIded_sbwzye-p5-v1ud6tz6">
        <w:r>
          <w:rPr>
            <w:rStyle w:val="Hyperlink"/>
            <w:rFonts w:ascii="Arial" w:cs="Arial" w:eastAsia="Arial" w:hAnsi="Arial"/>
            <w:sz w:val="20"/>
            <w:szCs w:val="20"/>
          </w:rPr>
          <w:t xml:space="preserve">Replimune receives second CRL for RP1 (GlobeNewsWire)</w:t>
        </w:r>
      </w:hyperlink>
    </w:p>
    <w:p>
      <w:pPr>
        <w:pStyle w:val="Heading2"/>
        <w:spacing w:after="150" w:before="200"/>
      </w:pPr>
      <w:r>
        <w:rPr>
          <w:rFonts w:ascii="Arial" w:cs="Arial" w:eastAsia="Arial" w:hAnsi="Arial"/>
          <w:b/>
          <w:bCs/>
          <w:color w:val="2B5797"/>
          <w:sz w:val="26"/>
          <w:szCs w:val="26"/>
        </w:rPr>
        <w:t xml:space="preserve">Market Analysis</w:t>
      </w:r>
    </w:p>
    <w:p>
      <w:pPr>
        <w:spacing w:after="80"/>
      </w:pPr>
      <w:hyperlink w:history="1" r:id="rIdmilz2mcznini9h71xerou">
        <w:r>
          <w:rPr>
            <w:rStyle w:val="Hyperlink"/>
            <w:rFonts w:ascii="Arial" w:cs="Arial" w:eastAsia="Arial" w:hAnsi="Arial"/>
            <w:sz w:val="20"/>
            <w:szCs w:val="20"/>
          </w:rPr>
          <w:t xml:space="preserve">TVTX binary FDA decision analysis (AInvest)</w:t>
        </w:r>
      </w:hyperlink>
    </w:p>
    <w:p>
      <w:pPr>
        <w:spacing w:after="80"/>
      </w:pPr>
      <w:hyperlink w:history="1" r:id="rId5d6xhk1hbggyx0zxci0ma">
        <w:r>
          <w:rPr>
            <w:rStyle w:val="Hyperlink"/>
            <w:rFonts w:ascii="Arial" w:cs="Arial" w:eastAsia="Arial" w:hAnsi="Arial"/>
            <w:sz w:val="20"/>
            <w:szCs w:val="20"/>
          </w:rPr>
          <w:t xml:space="preserve">FILSPARI FSGS approval probability (Seeking Alpha)</w:t>
        </w:r>
      </w:hyperlink>
    </w:p>
    <w:p>
      <w:pPr>
        <w:spacing w:after="80"/>
      </w:pPr>
      <w:hyperlink w:history="1" r:id="rIdxnnxlvrpethobvlxkjuul">
        <w:r>
          <w:rPr>
            <w:rStyle w:val="Hyperlink"/>
            <w:rFonts w:ascii="Arial" w:cs="Arial" w:eastAsia="Arial" w:hAnsi="Arial"/>
            <w:sz w:val="20"/>
            <w:szCs w:val="20"/>
          </w:rPr>
          <w:t xml:space="preserve">REPL, TVTX, GRCE: April PDUFA decisions (MerlinTrader)</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5797"/>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fymzqw_8swy3mgi5zn-a" Type="http://schemas.openxmlformats.org/officeDocument/2006/relationships/hyperlink" Target="https://ir.travere.com/press-releases/news-details/2026/Travere-Therapeutics-Announces-FDA-Extends-Review-of-sNDA-for-FILSPARI-sparsentan-in-FSGS/default.aspx" TargetMode="External"/><Relationship Id="rIdijwtnoaw01qfc_m_tkp-a" Type="http://schemas.openxmlformats.org/officeDocument/2006/relationships/hyperlink" Target="https://ir.travere.com/press-releases/news-details/2025/Travere-Therapeutics-Announces-FDA-Acceptance-of-sNDA-for-FILSPARI-sparsentan-in-FSGS/default.aspx" TargetMode="External"/><Relationship Id="rId-xzeiacazwy3nzmpgwx4o" Type="http://schemas.openxmlformats.org/officeDocument/2006/relationships/hyperlink" Target="https://finance.yahoo.com/news/tvtx-stock-soars-fda-waives-144000537.html" TargetMode="External"/><Relationship Id="rIdhocl9ckms6habquohhkn9" Type="http://schemas.openxmlformats.org/officeDocument/2006/relationships/hyperlink" Target="https://www.nejm.org/doi/full/10.1056/NEJMoa2308550" TargetMode="External"/><Relationship Id="rIdoddnc3swnb08sfhsex-km" Type="http://schemas.openxmlformats.org/officeDocument/2006/relationships/hyperlink" Target="https://medicalaffairs.travere.com/congress-materials/duplex-proteinuria-remission-fsgs/" TargetMode="External"/><Relationship Id="rId0ajk897kbamsuzejeadfy" Type="http://schemas.openxmlformats.org/officeDocument/2006/relationships/hyperlink" Target="https://www.businesswire.com/news/home/20260219846659/en/Travere-Therapeutics-Reports-Fourth-Quarter-and-Full-Year-2025-Financial-Results" TargetMode="External"/><Relationship Id="rId4rynydbmutjlohh502suq" Type="http://schemas.openxmlformats.org/officeDocument/2006/relationships/hyperlink" Target="https://www.stocktitan.net/news/TVTX/travere-therapeutics-reports-fourth-quarter-and-full-year-2025-99fgod4hko6n.html" TargetMode="External"/><Relationship Id="rIdrvi3a0y-r_bfgwotlwleg" Type="http://schemas.openxmlformats.org/officeDocument/2006/relationships/hyperlink" Target="https://www.stocktitan.net/sec-filings/TVTX/form-4-travere-therapeutics-inc-insider-trading-activity-171eb8561d5f.html" TargetMode="External"/><Relationship Id="rIdvyfcpck0irzrhx2oqc8en" Type="http://schemas.openxmlformats.org/officeDocument/2006/relationships/hyperlink" Target="https://www.americanbankingnews.com/2026/04/10/insider-selling-travere-therapeutics-nasdaqtvtx-director-sells-330000-00-in-stock.html" TargetMode="External"/><Relationship Id="rId8ix51rzclxs8gm_0ycglq" Type="http://schemas.openxmlformats.org/officeDocument/2006/relationships/hyperlink" Target="https://www.dailypolitical.com/2026/04/04/137768-shares-in-travere-therapeutics-inc-tvtx-purchased-by-palisades-investment-partners-llc.html" TargetMode="External"/><Relationship Id="rIded_sbwzye-p5-v1ud6tz6" Type="http://schemas.openxmlformats.org/officeDocument/2006/relationships/hyperlink" Target="https://www.globenewswire.com/news-release/2026/04/10/3272063/0/en/Replimune-Receives-Complete-Response-Letter-from-the-FDA-for-RP1.html" TargetMode="External"/><Relationship Id="rIdmilz2mcznini9h71xerou" Type="http://schemas.openxmlformats.org/officeDocument/2006/relationships/hyperlink" Target="https://www.ainvest.com/news/travere-tvtx-hinges-april-13-fda-decision-fsgs-approval-unlock-wide-moat-trigger-sharp-de-rating-2603/" TargetMode="External"/><Relationship Id="rId5d6xhk1hbggyx0zxci0ma" Type="http://schemas.openxmlformats.org/officeDocument/2006/relationships/hyperlink" Target="https://seekingalpha.com/article/4863945-travere-therapeutics-filsparis-fsgs-approval-chance-is-higher-than-you-think" TargetMode="External"/><Relationship Id="rIdxnnxlvrpethobvlxkjuul" Type="http://schemas.openxmlformats.org/officeDocument/2006/relationships/hyperlink" Target="https://www.merlintrader.com/repl-tvtx-grce-april2026-pdufa/"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2026-04-13T16:31:05.113Z</dcterms:created>
  <dcterms:modified xsi:type="dcterms:W3CDTF">2026-04-13T16:31:05.114Z</dcterms:modified>
</cp:coreProperties>
</file>

<file path=docProps/custom.xml><?xml version="1.0" encoding="utf-8"?>
<Properties xmlns="http://schemas.openxmlformats.org/officeDocument/2006/custom-properties" xmlns:vt="http://schemas.openxmlformats.org/officeDocument/2006/docPropsVTypes"/>
</file>