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72"/>
          <w:szCs w:val="72"/>
        </w:rPr>
        <w:t xml:space="preserve">VERA</w:t>
      </w:r>
    </w:p>
    <w:p>
      <w:pPr>
        <w:spacing w:after="100"/>
        <w:jc w:val="center"/>
      </w:pPr>
      <w:r>
        <w:rPr>
          <w:rFonts w:ascii="Arial" w:cs="Arial" w:eastAsia="Arial" w:hAnsi="Arial"/>
          <w:color w:val="444444"/>
          <w:sz w:val="40"/>
          <w:szCs w:val="40"/>
        </w:rPr>
        <w:t xml:space="preserve">Deep Dive Research Report</w:t>
      </w:r>
    </w:p>
    <w:p>
      <w:pPr>
        <w:spacing w:after="400"/>
        <w:jc w:val="center"/>
      </w:pPr>
      <w:r>
        <w:rPr>
          <w:rFonts w:ascii="Arial" w:cs="Arial" w:eastAsia="Arial" w:hAnsi="Arial"/>
          <w:color w:val="666666"/>
          <w:sz w:val="28"/>
          <w:szCs w:val="28"/>
        </w:rPr>
        <w:t xml:space="preserve">Vera Therapeutics, Inc.</w:t>
      </w:r>
    </w:p>
    <w:p>
      <w:pPr>
        <w:spacing w:after="100"/>
        <w:jc w:val="center"/>
      </w:pPr>
      <w:r>
        <w:rPr>
          <w:rFonts w:ascii="Arial" w:cs="Arial" w:eastAsia="Arial" w:hAnsi="Arial"/>
          <w:color w:val="444444"/>
          <w:sz w:val="24"/>
          <w:szCs w:val="24"/>
        </w:rPr>
        <w:t xml:space="preserve">Catalyst: Atacicept BLA for IgA Nephropathy</w:t>
      </w:r>
    </w:p>
    <w:p>
      <w:pPr>
        <w:spacing w:after="100"/>
        <w:jc w:val="center"/>
      </w:pPr>
      <w:r>
        <w:rPr>
          <w:rFonts w:ascii="Arial" w:cs="Arial" w:eastAsia="Arial" w:hAnsi="Arial"/>
          <w:b/>
          <w:bCs/>
          <w:color w:val="2B5797"/>
          <w:sz w:val="24"/>
          <w:szCs w:val="24"/>
        </w:rPr>
        <w:t xml:space="preserve">PDUFA Date: July 7, 2026</w:t>
      </w:r>
    </w:p>
    <w:p>
      <w:pPr>
        <w:spacing w:after="100"/>
        <w:jc w:val="center"/>
      </w:pPr>
      <w:r>
        <w:rPr>
          <w:rFonts w:ascii="Arial" w:cs="Arial" w:eastAsia="Arial" w:hAnsi="Arial"/>
          <w:color w:val="444444"/>
          <w:sz w:val="24"/>
          <w:szCs w:val="24"/>
        </w:rPr>
        <w:t xml:space="preserve">Score: 30.50 / 42.5</w:t>
      </w:r>
    </w:p>
    <w:p>
      <w:pPr>
        <w:spacing w:before="1500"/>
      </w:pPr>
    </w:p>
    <w:p>
      <w:pPr>
        <w:spacing w:after="100"/>
        <w:jc w:val="center"/>
      </w:pPr>
      <w:r>
        <w:rPr>
          <w:rFonts w:ascii="Arial" w:cs="Arial" w:eastAsia="Arial" w:hAnsi="Arial"/>
          <w:color w:val="888888"/>
          <w:sz w:val="22"/>
          <w:szCs w:val="22"/>
        </w:rPr>
        <w:t xml:space="preserve">Report Date: April 13, 2026</w:t>
      </w:r>
    </w:p>
    <w:p>
      <w:pPr>
        <w:jc w:val="center"/>
      </w:pPr>
      <w:r>
        <w:rPr>
          <w:rFonts w:ascii="Arial" w:cs="Arial" w:eastAsia="Arial" w:hAnsi="Arial"/>
          <w:i/>
          <w:iCs/>
          <w:color w:val="888888"/>
          <w:sz w:val="20"/>
          <w:szCs w:val="20"/>
        </w:rPr>
        <w:t xml:space="preserve">Automated Research Report — Investment Discovery System</w:t>
      </w:r>
    </w:p>
    <w:p>
      <w:r>
        <w:br w:type="page"/>
      </w:r>
    </w:p>
    <w:p>
      <w:pPr>
        <w:pStyle w:val="Heading1"/>
        <w:spacing w:after="200" w:before="300"/>
      </w:pPr>
      <w:r>
        <w:rPr>
          <w:rFonts w:ascii="Arial" w:cs="Arial" w:eastAsia="Arial" w:hAnsi="Arial"/>
          <w:b/>
          <w:bCs/>
          <w:color w:val="2B5797"/>
          <w:sz w:val="32"/>
          <w:szCs w:val="32"/>
        </w:rPr>
        <w:t xml:space="preserve">1. Executive Summary</w:t>
      </w:r>
    </w:p>
    <w:p>
      <w:pPr>
        <w:spacing w:after="120"/>
      </w:pPr>
      <w:r>
        <w:rPr>
          <w:rFonts w:ascii="Arial" w:cs="Arial" w:eastAsia="Arial" w:hAnsi="Arial"/>
          <w:sz w:val="22"/>
          <w:szCs w:val="22"/>
        </w:rPr>
        <w:t xml:space="preserve">Vera Therapeutics (NASDAQ: VERA) has a BLA under FDA Priority Review for atacicept, the first dual BAFF+APRIL inhibitor, for IgA nephropathy (IgAN). PDUFA target action date is July 7, 2026. The BLA was filed through the Accelerated Approval pathway, supported by exceptional Phase 3 ORIGIN trial data published in the New England Journal of Medicine: 46% proteinuria reduction from baseline, 42% placebo-adjusted reduction (p&lt;0.0001), 68% Gd-IgA1 reduction, and 81% hematuria resolution. Atacicept also carries Breakthrough Therapy Designation.</w:t>
      </w:r>
    </w:p>
    <w:p>
      <w:pPr>
        <w:spacing w:after="120"/>
      </w:pPr>
      <w:r>
        <w:rPr>
          <w:rFonts w:ascii="Arial" w:cs="Arial" w:eastAsia="Arial" w:hAnsi="Arial"/>
          <w:sz w:val="22"/>
          <w:szCs w:val="22"/>
        </w:rPr>
        <w:t xml:space="preserve">The central thesis is not about approvability (which is high) but about commercial positioning. Four IgAN therapies are already FDA-approved (sparsentan/FILSPARI, iptacopan/Fabhalta, atrasentan/Vanrafia, sibeprenlimab/Voyxact) plus Tarpeyo budesonide. Sibeprenlimab, the most mechanistically adjacent competitor (APRIL-only), was approved November 25, 2025 at $292,500 annual net price. Atacicept's dual BAFF+APRIL mechanism and superior proteinuria effect size represent a real differentiation that the market may be underestimating.</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Web research STRENGTHENS the thesis. The IgAN market is projected to grow at 30.5% CAGR to $8.3B by 2033. Vera has $714.6M in cash plus $800M in financing capacity — runway through approval and commercial launch. Inducement grants to 89 new employees (Apr 8) signal commercial buildout. Point72 ($55M) and Deep Track ($176M) 13G filings confirm institutional conviction. ICER analysis suggests atacicept's efficacy is 'similar or possibly better safety' than sibeprenlimab despite numeric proteinuria advantage for sibeprenlimab.</w:t>
      </w:r>
    </w:p>
    <w:p>
      <w:pPr>
        <w:spacing w:after="120"/>
      </w:pPr>
      <w:r>
        <w:rPr>
          <w:rFonts w:ascii="Arial" w:cs="Arial" w:eastAsia="Arial" w:hAnsi="Arial"/>
          <w:b/>
          <w:bCs/>
          <w:sz w:val="22"/>
          <w:szCs w:val="22"/>
        </w:rPr>
        <w:t xml:space="preserve">Conviction assessment: </w:t>
      </w:r>
      <w:r>
        <w:rPr>
          <w:rFonts w:ascii="Arial" w:cs="Arial" w:eastAsia="Arial" w:hAnsi="Arial"/>
          <w:sz w:val="22"/>
          <w:szCs w:val="22"/>
        </w:rPr>
        <w:t xml:space="preserve">BUY — High approval probability, strong financial position, commercial positioning thesis intact.</w:t>
      </w:r>
    </w:p>
    <w:p>
      <w:pPr>
        <w:pStyle w:val="Heading2"/>
        <w:spacing w:after="150" w:before="200"/>
      </w:pPr>
      <w:r>
        <w:rPr>
          <w:rFonts w:ascii="Arial" w:cs="Arial" w:eastAsia="Arial" w:hAnsi="Arial"/>
          <w:b/>
          <w:bCs/>
          <w:color w:val="2B5797"/>
          <w:sz w:val="26"/>
          <w:szCs w:val="26"/>
        </w:rPr>
        <w:t xml:space="preserve">Top 3 Risks</w:t>
      </w:r>
    </w:p>
    <w:p>
      <w:pPr>
        <w:spacing w:after="120"/>
      </w:pPr>
      <w:r>
        <w:rPr>
          <w:rFonts w:ascii="Arial" w:cs="Arial" w:eastAsia="Arial" w:hAnsi="Arial"/>
          <w:sz w:val="22"/>
          <w:szCs w:val="22"/>
        </w:rPr>
        <w:t xml:space="preserve">1. Crowded IgAN market — 4 approved competitors plus Tarpeyo. Market share fragmentation could limit peak sales.</w:t>
      </w:r>
    </w:p>
    <w:p>
      <w:pPr>
        <w:spacing w:after="120"/>
      </w:pPr>
      <w:r>
        <w:rPr>
          <w:rFonts w:ascii="Arial" w:cs="Arial" w:eastAsia="Arial" w:hAnsi="Arial"/>
          <w:sz w:val="22"/>
          <w:szCs w:val="22"/>
        </w:rPr>
        <w:t xml:space="preserve">2. Pricing pressure — ICER calculated value-based price of $60-80K/yr vs sibeprenlimab's $292.5K sticker. Payer resistance could compress margins.</w:t>
      </w:r>
    </w:p>
    <w:p>
      <w:pPr>
        <w:spacing w:after="120"/>
      </w:pPr>
      <w:r>
        <w:rPr>
          <w:rFonts w:ascii="Arial" w:cs="Arial" w:eastAsia="Arial" w:hAnsi="Arial"/>
          <w:sz w:val="22"/>
          <w:szCs w:val="22"/>
        </w:rPr>
        <w:t xml:space="preserve">3. Telitacicept (RemeGen) — mechanistically similar dual BAFF+APRIL inhibitor approved in China. US filing could create direct mechanism competitor.</w:t>
      </w:r>
    </w:p>
    <w:p>
      <w:pPr>
        <w:pStyle w:val="Heading2"/>
        <w:spacing w:after="150" w:before="200"/>
      </w:pPr>
      <w:r>
        <w:rPr>
          <w:rFonts w:ascii="Arial" w:cs="Arial" w:eastAsia="Arial" w:hAnsi="Arial"/>
          <w:b/>
          <w:bCs/>
          <w:color w:val="2B5797"/>
          <w:sz w:val="26"/>
          <w:szCs w:val="26"/>
        </w:rPr>
        <w:t xml:space="preserve">Top 3 Bullish Catalysts</w:t>
      </w:r>
    </w:p>
    <w:p>
      <w:pPr>
        <w:spacing w:after="120"/>
      </w:pPr>
      <w:r>
        <w:rPr>
          <w:rFonts w:ascii="Arial" w:cs="Arial" w:eastAsia="Arial" w:hAnsi="Arial"/>
          <w:sz w:val="22"/>
          <w:szCs w:val="22"/>
        </w:rPr>
        <w:t xml:space="preserve">1. ORIGIN Phase 3 data — best-in-class proteinuria reduction (46%) and Gd-IgA1 reduction (68%), published in NEJM.</w:t>
      </w:r>
    </w:p>
    <w:p>
      <w:pPr>
        <w:spacing w:after="120"/>
      </w:pPr>
      <w:r>
        <w:rPr>
          <w:rFonts w:ascii="Arial" w:cs="Arial" w:eastAsia="Arial" w:hAnsi="Arial"/>
          <w:sz w:val="22"/>
          <w:szCs w:val="22"/>
        </w:rPr>
        <w:t xml:space="preserve">2. Breakthrough Therapy + Priority Review + Accelerated Approval — triple expedited pathway signals high approval probability.</w:t>
      </w:r>
    </w:p>
    <w:p>
      <w:pPr>
        <w:spacing w:after="120"/>
      </w:pPr>
      <w:r>
        <w:rPr>
          <w:rFonts w:ascii="Arial" w:cs="Arial" w:eastAsia="Arial" w:hAnsi="Arial"/>
          <w:sz w:val="22"/>
          <w:szCs w:val="22"/>
        </w:rPr>
        <w:t xml:space="preserve">3. $714.6M cash + $800M financing — fully funded through approval and commercial launch with no dilution risk.</w:t>
      </w:r>
    </w:p>
    <w:p>
      <w:r>
        <w:br w:type="page"/>
      </w:r>
    </w:p>
    <w:p>
      <w:pPr>
        <w:pStyle w:val="Heading1"/>
        <w:spacing w:after="200" w:before="300"/>
      </w:pPr>
      <w:r>
        <w:rPr>
          <w:rFonts w:ascii="Arial" w:cs="Arial" w:eastAsia="Arial" w:hAnsi="Arial"/>
          <w:b/>
          <w:bCs/>
          <w:color w:val="2B5797"/>
          <w:sz w:val="32"/>
          <w:szCs w:val="32"/>
        </w:rPr>
        <w:t xml:space="preserve">2. 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Full Name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Vera Therapeutics, Inc.</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Ticker / Exchange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VERA / NASDAQ</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ISIN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US92337C1045</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Market Cap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~$3.2B (as of April 10, 2026)</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Sector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Biotechnology — Nephrology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52-Week Range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 $55 (estimated)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Recent Price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$45.04 (April 10 close, +10.0% on 2.57x volume)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Analyst Coverage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8-10 analysts, Strong Buy consensus</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Avg Daily Volume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~1.36M shares (~$61M dollar-volume)</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Cash Position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$714.6M + $800M debt facility</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Revenue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Pre-revenue; first potential revenue mid-2026 if approved</w:t>
            </w:r>
          </w:p>
        </w:tc>
      </w:tr>
      <w:tr>
        <w:tc>
          <w:tcPr>
            <w:tcW w:type="dxa" w:w="312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color w:val="000000"/>
                <w:sz w:val="20"/>
                <w:szCs w:val="20"/>
              </w:rPr>
              <w:t xml:space="preserve">Key Pipeline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Atacicept (IgAN BLA filed); ORIGIN Phase 3</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Vera is a pre-commercial clinical-stage biopharmaceutical company focused on serious immunological diseases. Atacicept, a dual BAFF and APRIL inhibitor, is its lead product candidate. Unlike Travere (TVTX) which has established commercial revenue, VERA is a classic binary biotech — the PDUFA outcome is existentially important. However, the $714.6M cash position and $800M debt facility provide substantial runway regardless of the PDUFA outcome. The April 8 inducement grants to 89 new employees (258,200 options + 131,925 RSUs) signal active commercial infrastructure buildout.</w:t>
      </w:r>
    </w:p>
    <w:p>
      <w:r>
        <w:br w:type="page"/>
      </w:r>
    </w:p>
    <w:p>
      <w:pPr>
        <w:pStyle w:val="Heading1"/>
        <w:spacing w:after="200" w:before="300"/>
      </w:pPr>
      <w:r>
        <w:rPr>
          <w:rFonts w:ascii="Arial" w:cs="Arial" w:eastAsia="Arial" w:hAnsi="Arial"/>
          <w:b/>
          <w:bCs/>
          <w:color w:val="2B5797"/>
          <w:sz w:val="32"/>
          <w:szCs w:val="32"/>
        </w:rPr>
        <w:t xml:space="preserve">3. Catalyst Analysis</w:t>
      </w:r>
    </w:p>
    <w:p>
      <w:pPr>
        <w:pStyle w:val="Heading2"/>
        <w:spacing w:after="150" w:before="200"/>
      </w:pPr>
      <w:r>
        <w:rPr>
          <w:rFonts w:ascii="Arial" w:cs="Arial" w:eastAsia="Arial" w:hAnsi="Arial"/>
          <w:b/>
          <w:bCs/>
          <w:color w:val="2B5797"/>
          <w:sz w:val="26"/>
          <w:szCs w:val="26"/>
        </w:rPr>
        <w:t xml:space="preserve">3.1 Upcoming Catalyst</w:t>
      </w:r>
    </w:p>
    <w:p>
      <w:pPr>
        <w:spacing w:after="120"/>
      </w:pPr>
      <w:r>
        <w:rPr>
          <w:rFonts w:ascii="Arial" w:cs="Arial" w:eastAsia="Arial" w:hAnsi="Arial"/>
          <w:sz w:val="22"/>
          <w:szCs w:val="22"/>
        </w:rPr>
        <w:t xml:space="preserve">The FDA PDUFA target action date is July 7, 2026 (~60 trading days from April 13). This is a BLA filed through the Accelerated Approval pathway, supported by the prespecified interim analysis of the ORIGIN Phase 3 trial at week 36. Priority Review and Breakthrough Therapy designation provide expedited review. No advisory committee has been scheduled.</w:t>
      </w:r>
    </w:p>
    <w:p>
      <w:pPr>
        <w:pStyle w:val="Heading2"/>
        <w:spacing w:after="150" w:before="200"/>
      </w:pPr>
      <w:r>
        <w:rPr>
          <w:rFonts w:ascii="Arial" w:cs="Arial" w:eastAsia="Arial" w:hAnsi="Arial"/>
          <w:b/>
          <w:bCs/>
          <w:color w:val="2B5797"/>
          <w:sz w:val="26"/>
          <w:szCs w:val="26"/>
        </w:rPr>
        <w:t xml:space="preserve">3.2 ORIGIN Phase 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93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Atacicept</w:t>
            </w:r>
          </w:p>
        </w:tc>
        <w:tc>
          <w:tcPr>
            <w:tcW w:type="dxa" w:w="293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Placebo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Proteinuria reduction (UPCR, wk 36)</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-46% from baseline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Placebo-adj: -42% (p&lt;0.0001)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Gd-IgA1 reduction (wk 36)</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-68%</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Substantially lower than placebo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Hematuria resolution (wk 36)</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 of pts with baseline hematuria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Significantly lower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Safety profile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Comparable to placebo</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These data were presented at ASN Kidney Week 2025 and published in the New England Journal of Medicine. The 42% placebo-adjusted proteinuria reduction and 68% Gd-IgA1 reduction are at or above the best data in the IgAN class. The safety profile was comparable to placebo — a significant differentiator in a class where side effects (corticosteroids, complement inhibitors) are clinically meaningful.</w:t>
      </w:r>
    </w:p>
    <w:p>
      <w:pPr>
        <w:pStyle w:val="Heading2"/>
        <w:spacing w:after="150" w:before="200"/>
      </w:pPr>
      <w:r>
        <w:rPr>
          <w:rFonts w:ascii="Arial" w:cs="Arial" w:eastAsia="Arial" w:hAnsi="Arial"/>
          <w:b/>
          <w:bCs/>
          <w:color w:val="2B5797"/>
          <w:sz w:val="26"/>
          <w:szCs w:val="26"/>
        </w:rPr>
        <w:t xml:space="preserve">3.3 Probability Assessment</w:t>
      </w:r>
    </w:p>
    <w:p>
      <w:pPr>
        <w:spacing w:after="120"/>
      </w:pPr>
      <w:r>
        <w:rPr>
          <w:rFonts w:ascii="Arial" w:cs="Arial" w:eastAsia="Arial" w:hAnsi="Arial"/>
          <w:sz w:val="22"/>
          <w:szCs w:val="22"/>
        </w:rPr>
        <w:t xml:space="preserve">Estimated approval probability: 75-85%. This is the highest approval probability estimate among all active candidates in the system. Rationale: NEJM-published P3 data with clear statistical significance, Breakthrough Therapy designation, Priority Review, Accelerated Approval pathway (lower bar than traditional approval), no AdCom scheduled, clean safety profile, and established regulatory precedent (multiple IgAN drugs approved in 2023-2025).</w:t>
      </w:r>
    </w:p>
    <w:p>
      <w:pPr>
        <w:pStyle w:val="Heading2"/>
        <w:spacing w:after="150" w:before="200"/>
      </w:pPr>
      <w:r>
        <w:rPr>
          <w:rFonts w:ascii="Arial" w:cs="Arial" w:eastAsia="Arial" w:hAnsi="Arial"/>
          <w:b/>
          <w:bCs/>
          <w:color w:val="2B5797"/>
          <w:sz w:val="26"/>
          <w:szCs w:val="26"/>
        </w:rPr>
        <w:t xml:space="preserve">3.4 Key Dates</w:t>
      </w:r>
    </w:p>
    <w:p>
      <w:pPr>
        <w:spacing w:after="120"/>
      </w:pPr>
      <w:r>
        <w:rPr>
          <w:rFonts w:ascii="Arial" w:cs="Arial" w:eastAsia="Arial" w:hAnsi="Arial"/>
          <w:sz w:val="22"/>
          <w:szCs w:val="22"/>
        </w:rPr>
        <w:t xml:space="preserve">July 7, 2026 — PDUFA target action date. Mid-2026 — Planned commercial launch if approved. T-30 deep monitoring window begins approximately June 7. T-14 intensive monitoring window begins approximately June 23.</w:t>
      </w:r>
    </w:p>
    <w:p>
      <w:r>
        <w:br w:type="page"/>
      </w:r>
    </w:p>
    <w:p>
      <w:pPr>
        <w:pStyle w:val="Heading1"/>
        <w:spacing w:after="200" w:before="300"/>
      </w:pPr>
      <w:r>
        <w:rPr>
          <w:rFonts w:ascii="Arial" w:cs="Arial" w:eastAsia="Arial" w:hAnsi="Arial"/>
          <w:b/>
          <w:bCs/>
          <w:color w:val="2B5797"/>
          <w:sz w:val="32"/>
          <w:szCs w:val="32"/>
        </w:rPr>
        <w:t xml:space="preserve">4. Scoring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200"/>
        <w:gridCol w:w="41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9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Weighted</w:t>
            </w:r>
          </w:p>
        </w:tc>
        <w:tc>
          <w:tcPr>
            <w:tcW w:type="dxa" w:w="4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Commentary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Signal Strength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NEJM P3, BTD, Priority Review, Accelerated Approval, 42% UPCR reduction, 68% Gd-IgA1. Offset by crowded market.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Clarity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 PDUFA July 7. Binary outcome.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 Asymmetry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Data widely known (NEJM+ASN). Edge is in commercial positioning math vs sibeprenlimab.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Risk/Reward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$3.2B mcap; approval upside 40-60%; CRL downside -30 to -45%.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Edge Decay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trading days — adequate runway for accumulation.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Liquidity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$61M/day dollar-ADV. Excellent for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Catalyst Timeline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days out — medium-term catalyst.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B5797"/>
                <w:sz w:val="20"/>
                <w:szCs w:val="20"/>
              </w:rPr>
              <w:t xml:space="preserve">30.50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Above 28-point active candidate threshold</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Web research impact: </w:t>
      </w:r>
      <w:r>
        <w:rPr>
          <w:rFonts w:ascii="Arial" w:cs="Arial" w:eastAsia="Arial" w:hAnsi="Arial"/>
          <w:sz w:val="22"/>
          <w:szCs w:val="22"/>
        </w:rPr>
        <w:t xml:space="preserve">No score changes warranted. Institutional conviction signals (Point72, Deep Track) and hiring activity strengthen Signal Strength but are offset by the crowded competitive landscape and pricing concerns flagged by ICER.</w:t>
      </w:r>
    </w:p>
    <w:p>
      <w:r>
        <w:br w:type="page"/>
      </w:r>
    </w:p>
    <w:p>
      <w:pPr>
        <w:pStyle w:val="Heading1"/>
        <w:spacing w:after="200" w:before="300"/>
      </w:pPr>
      <w:r>
        <w:rPr>
          <w:rFonts w:ascii="Arial" w:cs="Arial" w:eastAsia="Arial" w:hAnsi="Arial"/>
          <w:b/>
          <w:bCs/>
          <w:color w:val="2B5797"/>
          <w:sz w:val="32"/>
          <w:szCs w:val="32"/>
        </w:rPr>
        <w:t xml:space="preserve">5. Web Research Findings</w:t>
      </w:r>
    </w:p>
    <w:p>
      <w:pPr>
        <w:pStyle w:val="Heading2"/>
        <w:spacing w:after="150" w:before="200"/>
      </w:pPr>
      <w:r>
        <w:rPr>
          <w:rFonts w:ascii="Arial" w:cs="Arial" w:eastAsia="Arial" w:hAnsi="Arial"/>
          <w:b/>
          <w:bCs/>
          <w:color w:val="2B5797"/>
          <w:sz w:val="26"/>
          <w:szCs w:val="26"/>
        </w:rPr>
        <w:t xml:space="preserve">5.1 Recent News</w:t>
      </w:r>
    </w:p>
    <w:p>
      <w:pPr>
        <w:spacing w:after="120"/>
      </w:pPr>
      <w:r>
        <w:rPr>
          <w:rFonts w:ascii="Arial" w:cs="Arial" w:eastAsia="Arial" w:hAnsi="Arial"/>
          <w:sz w:val="22"/>
          <w:szCs w:val="22"/>
        </w:rPr>
        <w:t xml:space="preserve">Oct 2025: BLA submitted through Accelerated Approval. Dec 2025: FDA granted Priority Review, PDUFA July 7. Feb 2026: FY2025 results — net loss $299.6M, cash $714.6M. Mar 5, 2026: Christopher Hite (ex-Citi biotech M&amp;A banker) appointed to Board. Mar 11, 2026: Deep Track Capital 13G — 5.5% stake ($176M). Apr 1, 2026: Point72 (Steve Cohen) 13G — 1.7% stake ($55M). Apr 8, 2026: Inducement grants to 89 new employees. Apr 10, 2026: Stock +10.0% on 2.57x volume ($45.04 close).</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Clean regulatory progression, significant institutional buying, and commercial buildout signals.</w:t>
      </w:r>
    </w:p>
    <w:p>
      <w:pPr>
        <w:pStyle w:val="Heading2"/>
        <w:spacing w:after="150" w:before="200"/>
      </w:pPr>
      <w:r>
        <w:rPr>
          <w:rFonts w:ascii="Arial" w:cs="Arial" w:eastAsia="Arial" w:hAnsi="Arial"/>
          <w:b/>
          <w:bCs/>
          <w:color w:val="2B5797"/>
          <w:sz w:val="26"/>
          <w:szCs w:val="26"/>
        </w:rPr>
        <w:t xml:space="preserve">5.2 Analyst Activity</w:t>
      </w:r>
    </w:p>
    <w:p>
      <w:pPr>
        <w:spacing w:after="120"/>
      </w:pPr>
      <w:r>
        <w:rPr>
          <w:rFonts w:ascii="Arial" w:cs="Arial" w:eastAsia="Arial" w:hAnsi="Arial"/>
          <w:sz w:val="22"/>
          <w:szCs w:val="22"/>
        </w:rPr>
        <w:t xml:space="preserve">Consensus: Strong Buy (8-10 analysts, 0 Sell ratings). Average PT ranges from $64-$88 depending on source, with a high of $110 (Wolfe Research) and low of $56. At $45.04, consensus implies 42-95% upside. Raymond James reiterated $73 PT. All analysts have Buy or Strong Buy ratings.</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Broad analyst support with substantial upside to consensus targets.</w:t>
      </w:r>
    </w:p>
    <w:p>
      <w:pPr>
        <w:pStyle w:val="Heading2"/>
        <w:spacing w:after="150" w:before="200"/>
      </w:pPr>
      <w:r>
        <w:rPr>
          <w:rFonts w:ascii="Arial" w:cs="Arial" w:eastAsia="Arial" w:hAnsi="Arial"/>
          <w:b/>
          <w:bCs/>
          <w:color w:val="2B5797"/>
          <w:sz w:val="26"/>
          <w:szCs w:val="26"/>
        </w:rPr>
        <w:t xml:space="preserve">5.3 Institutional Activity</w:t>
      </w:r>
    </w:p>
    <w:p>
      <w:pPr>
        <w:spacing w:after="120"/>
      </w:pPr>
      <w:r>
        <w:rPr>
          <w:rFonts w:ascii="Arial" w:cs="Arial" w:eastAsia="Arial" w:hAnsi="Arial"/>
          <w:sz w:val="22"/>
          <w:szCs w:val="22"/>
        </w:rPr>
        <w:t xml:space="preserve">Point72 (Steve Cohen): 1.7% stake, 1.23M shares, ~$55M. Filed Apr 1, 2026. Deep Track Capital: 5.5% stake, 3.92M shares, ~$176M. Filed Mar 11. Vanguard: 13G/A filed with 0 shares — administrative realignment (not a VERA exit). Sofinnova Venture Partners: existing VC backer routine amendment. Chris Hite (ex-Citi biotech M&amp;A) appointed to Board Mar 5 — M&amp;A optionality signal.</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Two sophisticated biotech-focused institutions accumulating ahead of PDUFA. Board appointment of M&amp;A specialist adds optionality value.</w:t>
      </w:r>
    </w:p>
    <w:p>
      <w:pPr>
        <w:pStyle w:val="Heading2"/>
        <w:spacing w:after="150" w:before="200"/>
      </w:pPr>
      <w:r>
        <w:rPr>
          <w:rFonts w:ascii="Arial" w:cs="Arial" w:eastAsia="Arial" w:hAnsi="Arial"/>
          <w:b/>
          <w:bCs/>
          <w:color w:val="2B5797"/>
          <w:sz w:val="26"/>
          <w:szCs w:val="26"/>
        </w:rPr>
        <w:t xml:space="preserve">5.4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400"/>
        <w:gridCol w:w="2760"/>
      </w:tblGrid>
      <w:tr>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Drug</w:t>
            </w:r>
          </w:p>
        </w:tc>
        <w:tc>
          <w:tcPr>
            <w:tcW w:type="dxa" w:w="1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Company</w:t>
            </w:r>
          </w:p>
        </w:tc>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vs Atacicept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Sibeprenlimab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Otsuka/Visterra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anti-APRIL mAb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 Nov 2025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Most direct competitor. $292.5K/yr. APRIL-only vs dual BAFF+APRIL.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Sparsentan (FILSPARI)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Travere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Dual ET-A + AT1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 2023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Different mechanism. Non-immunosuppressive.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Iptacopan (Fabhalta)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Novartis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Complement factor 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Different pathway (alternative complement).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Atrasentan (Vanrafia)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Novartis/Chinook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ET-A antagonist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Different mechanism class.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Budesonide (Tarpeyo)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Calliditas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Corticosteroid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Older line. Steroid side effects limit 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Telitacicept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RemeGen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Dual BAFF+APRIL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Approved (China)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SAME mechanism class — direct threat if US filing.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IgAN market is projected to reach $8.3B by 2033, growing at 30.5% CAGR. Atacicept's dual BAFF+APRIL mechanism is differentiated from most competitors (APRIL-only, complement, endothelin). The key competitive concern is sibeprenlimab (approved Nov 2025, same APRIL target plus BAFF). ICER analysis found sibeprenlimab has a 'numerical' proteinuria advantage but atacicept has 'similar or possibly better safety.' Leading nephrologists consider the efficacy difference 'roughly equivalent from a clinical meaningfulness perspective.' The real competitive edge may come from pricing: ICER's value-based benchmark is $60-80K/yr vs sibeprenlimab's $292.5K sticker — significant room for value-based differentiation.</w:t>
      </w:r>
    </w:p>
    <w:p>
      <w:pPr>
        <w:pStyle w:val="Heading2"/>
        <w:spacing w:after="150" w:before="200"/>
      </w:pPr>
      <w:r>
        <w:rPr>
          <w:rFonts w:ascii="Arial" w:cs="Arial" w:eastAsia="Arial" w:hAnsi="Arial"/>
          <w:b/>
          <w:bCs/>
          <w:color w:val="2B5797"/>
          <w:sz w:val="26"/>
          <w:szCs w:val="26"/>
        </w:rPr>
        <w:t xml:space="preserve">5.5 Financial Health</w:t>
      </w:r>
    </w:p>
    <w:p>
      <w:pPr>
        <w:spacing w:after="120"/>
      </w:pPr>
      <w:r>
        <w:rPr>
          <w:rFonts w:ascii="Arial" w:cs="Arial" w:eastAsia="Arial" w:hAnsi="Arial"/>
          <w:sz w:val="22"/>
          <w:szCs w:val="22"/>
        </w:rPr>
        <w:t xml:space="preserve">Pre-revenue company. FY2025 net loss: $299.6M. Cash and equivalents: $714.6M as of Dec 31, 2025. Additional debt facility: $800M potential gross proceeds. Combined runway is sufficient through approval and commercial launch with no near-term dilution risk. This is among the best-funded pre-commercial biotechs in the PDUFA pipeline.</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BULLISH — No financing risk. Fully funded through launch.</w:t>
      </w:r>
    </w:p>
    <w:p>
      <w:pPr>
        <w:pStyle w:val="Heading2"/>
        <w:spacing w:after="150" w:before="200"/>
      </w:pPr>
      <w:r>
        <w:rPr>
          <w:rFonts w:ascii="Arial" w:cs="Arial" w:eastAsia="Arial" w:hAnsi="Arial"/>
          <w:b/>
          <w:bCs/>
          <w:color w:val="2B5797"/>
          <w:sz w:val="26"/>
          <w:szCs w:val="26"/>
        </w:rPr>
        <w:t xml:space="preserve">5.6 Litigation</w:t>
      </w:r>
    </w:p>
    <w:p>
      <w:pPr>
        <w:spacing w:after="120"/>
      </w:pPr>
      <w:r>
        <w:rPr>
          <w:rFonts w:ascii="Arial" w:cs="Arial" w:eastAsia="Arial" w:hAnsi="Arial"/>
          <w:sz w:val="22"/>
          <w:szCs w:val="22"/>
        </w:rPr>
        <w:t xml:space="preserve">Short-swing trading lawsuit (Sofinnova Venture Partners) was voluntarily dismissed in December 2025. No active material litigation. No SEC investigation or regulatory actions detected.</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Clean. Legacy litigation resolved.</w:t>
      </w:r>
    </w:p>
    <w:p>
      <w:pPr>
        <w:pStyle w:val="Heading2"/>
        <w:spacing w:after="150" w:before="200"/>
      </w:pPr>
      <w:r>
        <w:rPr>
          <w:rFonts w:ascii="Arial" w:cs="Arial" w:eastAsia="Arial" w:hAnsi="Arial"/>
          <w:b/>
          <w:bCs/>
          <w:color w:val="2B5797"/>
          <w:sz w:val="26"/>
          <w:szCs w:val="26"/>
        </w:rPr>
        <w:t xml:space="preserve">5.7 Short Interest</w:t>
      </w:r>
    </w:p>
    <w:p>
      <w:pPr>
        <w:spacing w:after="120"/>
      </w:pPr>
      <w:r>
        <w:rPr>
          <w:rFonts w:ascii="Arial" w:cs="Arial" w:eastAsia="Arial" w:hAnsi="Arial"/>
          <w:sz w:val="22"/>
          <w:szCs w:val="22"/>
        </w:rPr>
        <w:t xml:space="preserve">Short interest: approximately 13.1% of float (per candidate file monitoring, confirmed April 2026). This is moderately elevated, suggesting some market participants are skeptical about commercial potential in the crowded IgAN market. However, the April 10 +10% surge on 2.57x volume suggests short-covering may be beginning.</w:t>
      </w:r>
    </w:p>
    <w:p>
      <w:pPr>
        <w:spacing w:after="120"/>
      </w:pPr>
      <w:r>
        <w:rPr>
          <w:rFonts w:ascii="Arial" w:cs="Arial" w:eastAsia="Arial" w:hAnsi="Arial"/>
          <w:b/>
          <w:bCs/>
          <w:sz w:val="22"/>
          <w:szCs w:val="22"/>
        </w:rPr>
        <w:t xml:space="preserve">Assessment: </w:t>
      </w:r>
      <w:r>
        <w:rPr>
          <w:rFonts w:ascii="Arial" w:cs="Arial" w:eastAsia="Arial" w:hAnsi="Arial"/>
          <w:sz w:val="22"/>
          <w:szCs w:val="22"/>
        </w:rPr>
        <w:t xml:space="preserve">NEUTRAL — Moderate SI is a watch item but not alarming.</w:t>
      </w:r>
    </w:p>
    <w:p>
      <w:r>
        <w:br w:type="page"/>
      </w:r>
    </w:p>
    <w:p>
      <w:pPr>
        <w:pStyle w:val="Heading1"/>
        <w:spacing w:after="200" w:before="300"/>
      </w:pPr>
      <w:r>
        <w:rPr>
          <w:rFonts w:ascii="Arial" w:cs="Arial" w:eastAsia="Arial" w:hAnsi="Arial"/>
          <w:b/>
          <w:bCs/>
          <w:color w:val="2B5797"/>
          <w:sz w:val="32"/>
          <w:szCs w:val="32"/>
        </w:rPr>
        <w:t xml:space="preserve">6.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CRL from FDA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Kill condition. Data package is strong; low probability but catastrophic impact.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Crowded market limits peak sales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Medium-High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5th IgAN drug to market. Monitor formulary positioning and pricing strategy.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Sibeprenlimab first-mover advantage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Already $292.5K/yr. Atacicept may differentiate on dual mechanism and safety.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Telitacicept US filing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RemeGen's dual BAFF+APRIL — same mechanism class. Monitor for US regulatory filing.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Pricing below $200K/yr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ICER HBPB is $60-80K. Payer pressure could compress margins significantly.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PDUFA extension (Major Amendment)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signals of FDA requesting additional data. BLA was filed with strong Phase 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Post-approval safety signal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Safety comparable to placebo in ORIGIN. Low baseline 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Deep Track or Point72 exit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Would weaken institutional conviction signal. Monitor 13G amendments.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Kill Conditions: </w:t>
      </w:r>
      <w:r>
        <w:rPr>
          <w:rFonts w:ascii="Arial" w:cs="Arial" w:eastAsia="Arial" w:hAnsi="Arial"/>
          <w:sz w:val="22"/>
          <w:szCs w:val="22"/>
        </w:rPr>
        <w:t xml:space="preserve">1) CRL; 2) AdCom convened; 3) PDUFA extension &gt;3 months; 4) Safety signal; 5) BLA withdrawal; 6) CMC deficiency in 8-K; 7) Deep Track/Point72 exit; 8) Sibeprenlimab dominance in Q1 data; 9) Sector shock to Accelerated Approval pathway. All CLEAR as of April 13, 2026.</w:t>
      </w:r>
    </w:p>
    <w:p>
      <w:r>
        <w:br w:type="page"/>
      </w:r>
    </w:p>
    <w:p>
      <w:pPr>
        <w:pStyle w:val="Heading1"/>
        <w:spacing w:after="200" w:before="300"/>
      </w:pPr>
      <w:r>
        <w:rPr>
          <w:rFonts w:ascii="Arial" w:cs="Arial" w:eastAsia="Arial" w:hAnsi="Arial"/>
          <w:b/>
          <w:bCs/>
          <w:color w:val="2B5797"/>
          <w:sz w:val="32"/>
          <w:szCs w:val="32"/>
        </w:rPr>
        <w:t xml:space="preserve">7. Conviction Assessment</w:t>
      </w:r>
    </w:p>
    <w:p>
      <w:pPr>
        <w:spacing w:after="120"/>
      </w:pPr>
      <w:r>
        <w:rPr>
          <w:rFonts w:ascii="Arial" w:cs="Arial" w:eastAsia="Arial" w:hAnsi="Arial"/>
          <w:b/>
          <w:bCs/>
          <w:sz w:val="22"/>
          <w:szCs w:val="22"/>
        </w:rPr>
        <w:t xml:space="preserve">Overall Assessment: BUY </w:t>
      </w:r>
      <w:r>
        <w:rPr>
          <w:rFonts w:ascii="Arial" w:cs="Arial" w:eastAsia="Arial" w:hAnsi="Arial"/>
          <w:sz w:val="22"/>
          <w:szCs w:val="22"/>
        </w:rPr>
        <w:t xml:space="preserve">(relative to thesis; this is not investment advice)</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Supporting Factors</w:t>
      </w:r>
    </w:p>
    <w:p>
      <w:pPr>
        <w:spacing w:after="120"/>
      </w:pPr>
      <w:r>
        <w:rPr>
          <w:rFonts w:ascii="Arial" w:cs="Arial" w:eastAsia="Arial" w:hAnsi="Arial"/>
          <w:sz w:val="22"/>
          <w:szCs w:val="22"/>
        </w:rPr>
        <w:t xml:space="preserve">1. Best-in-class Phase 3 data (NEJM) — 46% proteinuria reduction, 68% Gd-IgA1 reduction, 81% hematuria resolution.</w:t>
      </w:r>
    </w:p>
    <w:p>
      <w:pPr>
        <w:spacing w:after="120"/>
      </w:pPr>
      <w:r>
        <w:rPr>
          <w:rFonts w:ascii="Arial" w:cs="Arial" w:eastAsia="Arial" w:hAnsi="Arial"/>
          <w:sz w:val="22"/>
          <w:szCs w:val="22"/>
        </w:rPr>
        <w:t xml:space="preserve">2. Triple expedited pathway (BTD + Priority Review + Accelerated Approval) — highest regulatory confidence of any active candidate.</w:t>
      </w:r>
    </w:p>
    <w:p>
      <w:pPr>
        <w:spacing w:after="120"/>
      </w:pPr>
      <w:r>
        <w:rPr>
          <w:rFonts w:ascii="Arial" w:cs="Arial" w:eastAsia="Arial" w:hAnsi="Arial"/>
          <w:sz w:val="22"/>
          <w:szCs w:val="22"/>
        </w:rPr>
        <w:t xml:space="preserve">3. $714.6M cash + $800M facility — no dilution risk, fully funded through launch.</w:t>
      </w:r>
    </w:p>
    <w:p>
      <w:pPr>
        <w:spacing w:after="120"/>
      </w:pPr>
      <w:r>
        <w:rPr>
          <w:rFonts w:ascii="Arial" w:cs="Arial" w:eastAsia="Arial" w:hAnsi="Arial"/>
          <w:sz w:val="22"/>
          <w:szCs w:val="22"/>
        </w:rPr>
        <w:t xml:space="preserve">4. Institutional accumulation — Point72 and Deep Track entered positions ahead of PDUFA.</w:t>
      </w:r>
    </w:p>
    <w:p>
      <w:pPr>
        <w:spacing w:after="120"/>
      </w:pPr>
      <w:r>
        <w:rPr>
          <w:rFonts w:ascii="Arial" w:cs="Arial" w:eastAsia="Arial" w:hAnsi="Arial"/>
          <w:sz w:val="22"/>
          <w:szCs w:val="22"/>
        </w:rPr>
        <w:t xml:space="preserve">5. Commercial buildout signals — 89 new employees with equity grants (Apr 8), Hite board appointment (Mar 5).</w:t>
      </w:r>
    </w:p>
    <w:p>
      <w:pPr>
        <w:spacing w:after="120"/>
      </w:pPr>
      <w:r>
        <w:rPr>
          <w:rFonts w:ascii="Arial" w:cs="Arial" w:eastAsia="Arial" w:hAnsi="Arial"/>
          <w:sz w:val="22"/>
          <w:szCs w:val="22"/>
        </w:rPr>
        <w:t xml:space="preserve">6. IgAN market growing at 30.5% CAGR — $8.3B by 2033. Even modest market share is significant.</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Undermining Factors</w:t>
      </w:r>
    </w:p>
    <w:p>
      <w:pPr>
        <w:spacing w:after="120"/>
      </w:pPr>
      <w:r>
        <w:rPr>
          <w:rFonts w:ascii="Arial" w:cs="Arial" w:eastAsia="Arial" w:hAnsi="Arial"/>
          <w:sz w:val="22"/>
          <w:szCs w:val="22"/>
        </w:rPr>
        <w:t xml:space="preserve">1. 5th-to-market in IgAN — crowded landscape with 4 approved drugs plus Tarpeyo. First-mover advantage may be difficult to overcome.</w:t>
      </w:r>
    </w:p>
    <w:p>
      <w:pPr>
        <w:spacing w:after="120"/>
      </w:pPr>
      <w:r>
        <w:rPr>
          <w:rFonts w:ascii="Arial" w:cs="Arial" w:eastAsia="Arial" w:hAnsi="Arial"/>
          <w:sz w:val="22"/>
          <w:szCs w:val="22"/>
        </w:rPr>
        <w:t xml:space="preserve">2. Pre-revenue binary — no commercial revenue to floor the stock on CRL. Downside is -30 to -45%.</w:t>
      </w:r>
    </w:p>
    <w:p>
      <w:pPr>
        <w:spacing w:after="120"/>
      </w:pPr>
      <w:r>
        <w:rPr>
          <w:rFonts w:ascii="Arial" w:cs="Arial" w:eastAsia="Arial" w:hAnsi="Arial"/>
          <w:sz w:val="22"/>
          <w:szCs w:val="22"/>
        </w:rPr>
        <w:t xml:space="preserve">3. ICER pricing concerns — value-based price ($60-80K) significantly below sibeprenlimab's $292.5K, suggesting payer pressure.</w:t>
      </w:r>
    </w:p>
    <w:p>
      <w:pPr>
        <w:spacing w:after="120"/>
      </w:pPr>
      <w:r>
        <w:rPr>
          <w:rFonts w:ascii="Arial" w:cs="Arial" w:eastAsia="Arial" w:hAnsi="Arial"/>
          <w:sz w:val="22"/>
          <w:szCs w:val="22"/>
        </w:rPr>
        <w:t xml:space="preserve">4. Telitacicept (RemeGen) — same mechanism class approved in China. US filing would create direct head-to-head competition.</w:t>
      </w:r>
    </w:p>
    <w:p>
      <w:pPr>
        <w:spacing w:after="120"/>
      </w:pPr>
      <w:r>
        <w:rPr>
          <w:rFonts w:ascii="Arial" w:cs="Arial" w:eastAsia="Arial" w:hAnsi="Arial"/>
          <w:sz w:val="22"/>
          <w:szCs w:val="22"/>
        </w:rPr>
        <w:t xml:space="preserve"/>
      </w:r>
    </w:p>
    <w:p>
      <w:pPr>
        <w:pStyle w:val="Heading2"/>
        <w:spacing w:after="150" w:before="200"/>
      </w:pPr>
      <w:r>
        <w:rPr>
          <w:rFonts w:ascii="Arial" w:cs="Arial" w:eastAsia="Arial" w:hAnsi="Arial"/>
          <w:b/>
          <w:bCs/>
          <w:color w:val="2B5797"/>
          <w:sz w:val="26"/>
          <w:szCs w:val="26"/>
        </w:rPr>
        <w:t xml:space="preserve">Monitoring Focus</w:t>
      </w:r>
    </w:p>
    <w:p>
      <w:pPr>
        <w:spacing w:after="120"/>
      </w:pPr>
      <w:r>
        <w:rPr>
          <w:rFonts w:ascii="Arial" w:cs="Arial" w:eastAsia="Arial" w:hAnsi="Arial"/>
          <w:sz w:val="22"/>
          <w:szCs w:val="22"/>
        </w:rPr>
        <w:t xml:space="preserve">T-60 to T-30: Monitor sibeprenlimab Q1 2026 uptake data (Otsuka earnings), telitacicept US filing status, VERA cash utilization rate. T-30 to T-14: EDGAR 8-K monitoring (CIK 1831828), FDA press releases, analyst note flow. T-14 to T-0: Daily kill condition sweeps, option chain IV, short interest evolution.</w:t>
      </w:r>
    </w:p>
    <w:p>
      <w:r>
        <w:br w:type="page"/>
      </w:r>
    </w:p>
    <w:p>
      <w:pPr>
        <w:pStyle w:val="Heading1"/>
        <w:spacing w:after="200" w:before="300"/>
      </w:pPr>
      <w:r>
        <w:rPr>
          <w:rFonts w:ascii="Arial" w:cs="Arial" w:eastAsia="Arial" w:hAnsi="Arial"/>
          <w:b/>
          <w:bCs/>
          <w:color w:val="2B5797"/>
          <w:sz w:val="32"/>
          <w:szCs w:val="32"/>
        </w:rPr>
        <w:t xml:space="preserve">8. Sources</w:t>
      </w:r>
    </w:p>
    <w:p>
      <w:pPr>
        <w:pStyle w:val="Heading2"/>
        <w:spacing w:after="150" w:before="200"/>
      </w:pPr>
      <w:r>
        <w:rPr>
          <w:rFonts w:ascii="Arial" w:cs="Arial" w:eastAsia="Arial" w:hAnsi="Arial"/>
          <w:b/>
          <w:bCs/>
          <w:color w:val="2B5797"/>
          <w:sz w:val="26"/>
          <w:szCs w:val="26"/>
        </w:rPr>
        <w:t xml:space="preserve">Regulatory</w:t>
      </w:r>
    </w:p>
    <w:p>
      <w:pPr>
        <w:spacing w:after="80"/>
      </w:pPr>
      <w:hyperlink w:history="1" r:id="rId0x52zry2ciptucxtp2yst">
        <w:r>
          <w:rPr>
            <w:rStyle w:val="Hyperlink"/>
            <w:rFonts w:ascii="Arial" w:cs="Arial" w:eastAsia="Arial" w:hAnsi="Arial"/>
            <w:sz w:val="20"/>
            <w:szCs w:val="20"/>
          </w:rPr>
          <w:t xml:space="preserve">FDA Grants Priority Review to Atacicept BLA (Vera IR)</w:t>
        </w:r>
      </w:hyperlink>
    </w:p>
    <w:p>
      <w:pPr>
        <w:spacing w:after="80"/>
      </w:pPr>
      <w:hyperlink w:history="1" r:id="rIdlirmvyrnsz1q2oxiihkfn">
        <w:r>
          <w:rPr>
            <w:rStyle w:val="Hyperlink"/>
            <w:rFonts w:ascii="Arial" w:cs="Arial" w:eastAsia="Arial" w:hAnsi="Arial"/>
            <w:sz w:val="20"/>
            <w:szCs w:val="20"/>
          </w:rPr>
          <w:t xml:space="preserve">BLA Submission via Accelerated Approval (Vera IR)</w:t>
        </w:r>
      </w:hyperlink>
    </w:p>
    <w:p>
      <w:pPr>
        <w:spacing w:after="80"/>
      </w:pPr>
      <w:hyperlink w:history="1" r:id="rIdymmx3jty7f5hkwur-nv0d">
        <w:r>
          <w:rPr>
            <w:rStyle w:val="Hyperlink"/>
            <w:rFonts w:ascii="Arial" w:cs="Arial" w:eastAsia="Arial" w:hAnsi="Arial"/>
            <w:sz w:val="20"/>
            <w:szCs w:val="20"/>
          </w:rPr>
          <w:t xml:space="preserve">FDA Priority Review Announcement (HCPLive)</w:t>
        </w:r>
      </w:hyperlink>
    </w:p>
    <w:p>
      <w:pPr>
        <w:pStyle w:val="Heading2"/>
        <w:spacing w:after="150" w:before="200"/>
      </w:pPr>
      <w:r>
        <w:rPr>
          <w:rFonts w:ascii="Arial" w:cs="Arial" w:eastAsia="Arial" w:hAnsi="Arial"/>
          <w:b/>
          <w:bCs/>
          <w:color w:val="2B5797"/>
          <w:sz w:val="26"/>
          <w:szCs w:val="26"/>
        </w:rPr>
        <w:t xml:space="preserve">Clinical</w:t>
      </w:r>
    </w:p>
    <w:p>
      <w:pPr>
        <w:spacing w:after="80"/>
      </w:pPr>
      <w:hyperlink w:history="1" r:id="rIdoq_vpqouji6of2b7cfclm">
        <w:r>
          <w:rPr>
            <w:rStyle w:val="Hyperlink"/>
            <w:rFonts w:ascii="Arial" w:cs="Arial" w:eastAsia="Arial" w:hAnsi="Arial"/>
            <w:sz w:val="20"/>
            <w:szCs w:val="20"/>
          </w:rPr>
          <w:t xml:space="preserve">ORIGIN Phase 3 Data — 46% Proteinuria Reduction (Vera IR)</w:t>
        </w:r>
      </w:hyperlink>
    </w:p>
    <w:p>
      <w:pPr>
        <w:spacing w:after="80"/>
      </w:pPr>
      <w:hyperlink w:history="1" r:id="rIdpaeqziobk75dttkjxabfu">
        <w:r>
          <w:rPr>
            <w:rStyle w:val="Hyperlink"/>
            <w:rFonts w:ascii="Arial" w:cs="Arial" w:eastAsia="Arial" w:hAnsi="Arial"/>
            <w:sz w:val="20"/>
            <w:szCs w:val="20"/>
          </w:rPr>
          <w:t xml:space="preserve">ORIGIN Phase 3 (PubMed / NEJM)</w:t>
        </w:r>
      </w:hyperlink>
    </w:p>
    <w:p>
      <w:pPr>
        <w:spacing w:after="80"/>
      </w:pPr>
      <w:hyperlink w:history="1" r:id="rIddmfaod0istkftsl-is8wk">
        <w:r>
          <w:rPr>
            <w:rStyle w:val="Hyperlink"/>
            <w:rFonts w:ascii="Arial" w:cs="Arial" w:eastAsia="Arial" w:hAnsi="Arial"/>
            <w:sz w:val="20"/>
            <w:szCs w:val="20"/>
          </w:rPr>
          <w:t xml:space="preserve">ICER Evidence Report on IgAN Therapies</w:t>
        </w:r>
      </w:hyperlink>
    </w:p>
    <w:p>
      <w:pPr>
        <w:pStyle w:val="Heading2"/>
        <w:spacing w:after="150" w:before="200"/>
      </w:pPr>
      <w:r>
        <w:rPr>
          <w:rFonts w:ascii="Arial" w:cs="Arial" w:eastAsia="Arial" w:hAnsi="Arial"/>
          <w:b/>
          <w:bCs/>
          <w:color w:val="2B5797"/>
          <w:sz w:val="26"/>
          <w:szCs w:val="26"/>
        </w:rPr>
        <w:t xml:space="preserve">Financial &amp; Corporate</w:t>
      </w:r>
    </w:p>
    <w:p>
      <w:pPr>
        <w:spacing w:after="80"/>
      </w:pPr>
      <w:hyperlink w:history="1" r:id="rIdyq5oufnj-j0rwo9sevwsg">
        <w:r>
          <w:rPr>
            <w:rStyle w:val="Hyperlink"/>
            <w:rFonts w:ascii="Arial" w:cs="Arial" w:eastAsia="Arial" w:hAnsi="Arial"/>
            <w:sz w:val="20"/>
            <w:szCs w:val="20"/>
          </w:rPr>
          <w:t xml:space="preserve">Vera FY2025 Financial Results (Vera IR)</w:t>
        </w:r>
      </w:hyperlink>
    </w:p>
    <w:p>
      <w:pPr>
        <w:spacing w:after="80"/>
      </w:pPr>
      <w:hyperlink w:history="1" r:id="rId3-dsszugv2ameijqwpbi-">
        <w:r>
          <w:rPr>
            <w:rStyle w:val="Hyperlink"/>
            <w:rFonts w:ascii="Arial" w:cs="Arial" w:eastAsia="Arial" w:hAnsi="Arial"/>
            <w:sz w:val="20"/>
            <w:szCs w:val="20"/>
          </w:rPr>
          <w:t xml:space="preserve">Vera 2025 Loss $299.6M, FDA Review (StockTitan)</w:t>
        </w:r>
      </w:hyperlink>
    </w:p>
    <w:p>
      <w:pPr>
        <w:spacing w:after="80"/>
      </w:pPr>
      <w:hyperlink w:history="1" r:id="rIda94f3z6cs3qtdd-csfij_">
        <w:r>
          <w:rPr>
            <w:rStyle w:val="Hyperlink"/>
            <w:rFonts w:ascii="Arial" w:cs="Arial" w:eastAsia="Arial" w:hAnsi="Arial"/>
            <w:sz w:val="20"/>
            <w:szCs w:val="20"/>
          </w:rPr>
          <w:t xml:space="preserve">Inducement Grants Apr 8 (GlobeNewsWire)</w:t>
        </w:r>
      </w:hyperlink>
    </w:p>
    <w:p>
      <w:pPr>
        <w:pStyle w:val="Heading2"/>
        <w:spacing w:after="150" w:before="200"/>
      </w:pPr>
      <w:r>
        <w:rPr>
          <w:rFonts w:ascii="Arial" w:cs="Arial" w:eastAsia="Arial" w:hAnsi="Arial"/>
          <w:b/>
          <w:bCs/>
          <w:color w:val="2B5797"/>
          <w:sz w:val="26"/>
          <w:szCs w:val="26"/>
        </w:rPr>
        <w:t xml:space="preserve">Institutional</w:t>
      </w:r>
    </w:p>
    <w:p>
      <w:pPr>
        <w:spacing w:after="80"/>
      </w:pPr>
      <w:hyperlink w:history="1" r:id="rId9pocisrgdwdffdfrx8-cc">
        <w:r>
          <w:rPr>
            <w:rStyle w:val="Hyperlink"/>
            <w:rFonts w:ascii="Arial" w:cs="Arial" w:eastAsia="Arial" w:hAnsi="Arial"/>
            <w:sz w:val="20"/>
            <w:szCs w:val="20"/>
          </w:rPr>
          <w:t xml:space="preserve">Point72 13G — 1.7% Stake (StockTitan)</w:t>
        </w:r>
      </w:hyperlink>
    </w:p>
    <w:p>
      <w:pPr>
        <w:spacing w:after="80"/>
      </w:pPr>
      <w:hyperlink w:history="1" r:id="rIdzb14l4d92ucygb6sggb2n">
        <w:r>
          <w:rPr>
            <w:rStyle w:val="Hyperlink"/>
            <w:rFonts w:ascii="Arial" w:cs="Arial" w:eastAsia="Arial" w:hAnsi="Arial"/>
            <w:sz w:val="20"/>
            <w:szCs w:val="20"/>
          </w:rPr>
          <w:t xml:space="preserve">Deep Track Capital 13G — 5.5% Stake (SEC EDGAR)</w:t>
        </w:r>
      </w:hyperlink>
    </w:p>
    <w:p>
      <w:pPr>
        <w:pStyle w:val="Heading2"/>
        <w:spacing w:after="150" w:before="200"/>
      </w:pPr>
      <w:r>
        <w:rPr>
          <w:rFonts w:ascii="Arial" w:cs="Arial" w:eastAsia="Arial" w:hAnsi="Arial"/>
          <w:b/>
          <w:bCs/>
          <w:color w:val="2B5797"/>
          <w:sz w:val="26"/>
          <w:szCs w:val="26"/>
        </w:rPr>
        <w:t xml:space="preserve">Market &amp; Competition</w:t>
      </w:r>
    </w:p>
    <w:p>
      <w:pPr>
        <w:spacing w:after="80"/>
      </w:pPr>
      <w:hyperlink w:history="1" r:id="rIdsxl26b_rrrnwf0lby7esm">
        <w:r>
          <w:rPr>
            <w:rStyle w:val="Hyperlink"/>
            <w:rFonts w:ascii="Arial" w:cs="Arial" w:eastAsia="Arial" w:hAnsi="Arial"/>
            <w:sz w:val="20"/>
            <w:szCs w:val="20"/>
          </w:rPr>
          <w:t xml:space="preserve">Sibeprenlimab FDA Approval &amp; Pricing (AJMC)</w:t>
        </w:r>
      </w:hyperlink>
    </w:p>
    <w:p>
      <w:pPr>
        <w:spacing w:after="80"/>
      </w:pPr>
      <w:hyperlink w:history="1" r:id="rIdfhzkvv9x68hsmztpmlfb-">
        <w:r>
          <w:rPr>
            <w:rStyle w:val="Hyperlink"/>
            <w:rFonts w:ascii="Arial" w:cs="Arial" w:eastAsia="Arial" w:hAnsi="Arial"/>
            <w:sz w:val="20"/>
            <w:szCs w:val="20"/>
          </w:rPr>
          <w:t xml:space="preserve">IgAN Market Outlook $8.3B by 2033</w:t>
        </w:r>
      </w:hyperlink>
    </w:p>
    <w:p>
      <w:pPr>
        <w:spacing w:after="80"/>
      </w:pPr>
      <w:hyperlink w:history="1" r:id="rIdx-dswmz5nwcmevplo5hhy">
        <w:r>
          <w:rPr>
            <w:rStyle w:val="Hyperlink"/>
            <w:rFonts w:ascii="Arial" w:cs="Arial" w:eastAsia="Arial" w:hAnsi="Arial"/>
            <w:sz w:val="20"/>
            <w:szCs w:val="20"/>
          </w:rPr>
          <w:t xml:space="preserve">VERA April 2026 Deep Dive (MerlinTrader)</w:t>
        </w:r>
      </w:hyperlink>
    </w:p>
    <w:p>
      <w:pPr>
        <w:spacing w:after="80"/>
      </w:pPr>
      <w:hyperlink w:history="1" r:id="rId2eqt3mkvolxljrhjmz8hp">
        <w:r>
          <w:rPr>
            <w:rStyle w:val="Hyperlink"/>
            <w:rFonts w:ascii="Arial" w:cs="Arial" w:eastAsia="Arial" w:hAnsi="Arial"/>
            <w:sz w:val="20"/>
            <w:szCs w:val="20"/>
          </w:rPr>
          <w:t xml:space="preserve">VERA IgAN Gamble Analysis (BeyondSPX / Seeking Alpha)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B5797"/>
      <w:sz w:val="32"/>
      <w:szCs w:val="32"/>
    </w:rPr>
  </w:style>
  <w:style w:type="paragraph" w:styleId="Heading2">
    <w:name w:val="Heading 2"/>
    <w:basedOn w:val="Normal"/>
    <w:next w:val="Normal"/>
    <w:qFormat/>
    <w:pPr>
      <w:spacing w:after="150" w:before="20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x52zry2ciptucxtp2yst" Type="http://schemas.openxmlformats.org/officeDocument/2006/relationships/hyperlink" Target="https://ir.veratx.com/news-releases/news-release-details/vera-therapeutics-announces-us-fda-granted-priority-review" TargetMode="External"/><Relationship Id="rIdlirmvyrnsz1q2oxiihkfn" Type="http://schemas.openxmlformats.org/officeDocument/2006/relationships/hyperlink" Target="https://veratherapeutics.gcs-web.com/news-releases/news-release-details/vera-therapeutics-submits-biologics-license-application-us-fda" TargetMode="External"/><Relationship Id="rIdymmx3jty7f5hkwur-nv0d" Type="http://schemas.openxmlformats.org/officeDocument/2006/relationships/hyperlink" Target="https://www.hcplive.com/view/fda-grants-priority-review-of-biologics-license-application-for-atacicept-in-iga-nephropathy" TargetMode="External"/><Relationship Id="rIdoq_vpqouji6of2b7cfclm" Type="http://schemas.openxmlformats.org/officeDocument/2006/relationships/hyperlink" Target="https://ir.veratx.com/news-releases/news-release-details/vera-therapeutics-announces-atacicept-achieved-46-proteinuria/" TargetMode="External"/><Relationship Id="rIdpaeqziobk75dttkjxabfu" Type="http://schemas.openxmlformats.org/officeDocument/2006/relationships/hyperlink" Target="https://pubmed.ncbi.nlm.nih.gov/41196369/" TargetMode="External"/><Relationship Id="rIddmfaod0istkftsl-is8wk" Type="http://schemas.openxmlformats.org/officeDocument/2006/relationships/hyperlink" Target="https://icer.org/news-insights/press-releases/institute-for-clinical-and-economic-review-releases-evidence-report-on-therapies-for-iga-nephropathy/" TargetMode="External"/><Relationship Id="rIdyq5oufnj-j0rwo9sevwsg" Type="http://schemas.openxmlformats.org/officeDocument/2006/relationships/hyperlink" Target="https://ir.veratx.com/news-releases/news-release-details/vera-therapeutics-provides-business-update-and-reports-full-year" TargetMode="External"/><Relationship Id="rId3-dsszugv2ameijqwpbi-" Type="http://schemas.openxmlformats.org/officeDocument/2006/relationships/hyperlink" Target="https://www.stocktitan.net/news/VERA/vera-therapeutics-provides-business-update-and-reports-full-year-qctubht41wyc.html" TargetMode="External"/><Relationship Id="rIda94f3z6cs3qtdd-csfij_" Type="http://schemas.openxmlformats.org/officeDocument/2006/relationships/hyperlink" Target="https://www.globenewswire.com/news-release/2026/04/10/3272048/0/en/Vera-Therapeutics-Announces-Inducement-Grants-Under-Nasdaq-Listing-Rule-5635-c-4.html" TargetMode="External"/><Relationship Id="rId9pocisrgdwdffdfrx8-cc" Type="http://schemas.openxmlformats.org/officeDocument/2006/relationships/hyperlink" Target="https://www.stocktitan.net/sec-filings/VERA/schedule-13g-vera-therapeutics-inc-passive-investment-disclosure-5-7c869f96b987.html" TargetMode="External"/><Relationship Id="rIdzb14l4d92ucygb6sggb2n" Type="http://schemas.openxmlformats.org/officeDocument/2006/relationships/hyperlink" Target="https://www.sec.gov/Archives/edgar/data/1831828/000117266126001342/primary_doc.xml" TargetMode="External"/><Relationship Id="rIdsxl26b_rrrnwf0lby7esm" Type="http://schemas.openxmlformats.org/officeDocument/2006/relationships/hyperlink" Target="https://www.ajmc.com/view/fda-approves-sibeprenlimab-for-immunoglobulin-a-nephropathy" TargetMode="External"/><Relationship Id="rIdfhzkvv9x68hsmztpmlfb-" Type="http://schemas.openxmlformats.org/officeDocument/2006/relationships/hyperlink" Target="https://www.ihealthcareanalyst.com/global-immunoglobulin-a-nephropathy-market/" TargetMode="External"/><Relationship Id="rIdx-dswmz5nwcmevplo5hhy" Type="http://schemas.openxmlformats.org/officeDocument/2006/relationships/hyperlink" Target="https://www.merlintrader.com/vera-therapeutics-april2026-dd/" TargetMode="External"/><Relationship Id="rId2eqt3mkvolxljrhjmz8hp" Type="http://schemas.openxmlformats.org/officeDocument/2006/relationships/hyperlink" Target="https://beyondspx.com/quote/VERA/vera-therapeutics-igan-gamble-phase-3-success-meets-commercial-reality-nasdaq-vera"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2026-04-13T15:45:49.175Z</dcterms:created>
  <dcterms:modified xsi:type="dcterms:W3CDTF">2026-04-13T15:45:49.175Z</dcterms:modified>
</cp:coreProperties>
</file>

<file path=docProps/custom.xml><?xml version="1.0" encoding="utf-8"?>
<Properties xmlns="http://schemas.openxmlformats.org/officeDocument/2006/custom-properties" xmlns:vt="http://schemas.openxmlformats.org/officeDocument/2006/docPropsVTypes"/>
</file>