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555555"/>
          <w:spacing w:val="40"/>
          <w:sz w:val="22"/>
          <w:szCs w:val="22"/>
        </w:rPr>
        <w:t xml:space="preserve">INVESTMENT THESIS</w:t>
      </w:r>
    </w:p>
    <w:p>
      <w:pPr>
        <w:spacing w:after="100"/>
        <w:jc w:val="center"/>
      </w:pPr>
      <w:r>
        <w:rPr>
          <w:rFonts w:ascii="Calibri" w:cs="Calibri" w:eastAsia="Calibri" w:hAnsi="Calibri"/>
          <w:b/>
          <w:bCs/>
          <w:color w:val="1F3864"/>
          <w:sz w:val="56"/>
          <w:szCs w:val="56"/>
        </w:rPr>
        <w:t xml:space="preserve">Axsome Therapeutics (AXSM)</w:t>
      </w:r>
    </w:p>
    <w:p>
      <w:pPr>
        <w:spacing w:after="100"/>
        <w:jc w:val="center"/>
      </w:pPr>
      <w:r>
        <w:rPr>
          <w:rFonts w:ascii="Calibri" w:cs="Calibri" w:eastAsia="Calibri" w:hAnsi="Calibri"/>
          <w:i/>
          <w:iCs/>
          <w:color w:val="2B5797"/>
          <w:sz w:val="30"/>
          <w:szCs w:val="30"/>
        </w:rPr>
        <w:t xml:space="preserve">AXS-05 in Alzheimer's Disease Agitation</w:t>
      </w:r>
    </w:p>
    <w:p>
      <w:pPr>
        <w:spacing w:after="400"/>
        <w:jc w:val="center"/>
      </w:pPr>
      <w:r>
        <w:rPr>
          <w:rFonts w:ascii="Calibri" w:cs="Calibri" w:eastAsia="Calibri" w:hAnsi="Calibri"/>
          <w:b/>
          <w:bCs/>
          <w:color w:val="B06100"/>
          <w:sz w:val="24"/>
          <w:szCs w:val="24"/>
        </w:rPr>
        <w:t xml:space="preserve">PDUFA: 30 April 2026  ·  17 days to decision</w:t>
      </w:r>
    </w:p>
    <w:p>
      <w:pPr>
        <w:spacing w:after="120"/>
        <w:jc w:val="center"/>
      </w:pPr>
      <w:r>
        <w:rPr>
          <w:rFonts w:ascii="Calibri" w:cs="Calibri" w:eastAsia="Calibri" w:hAnsi="Calibri"/>
          <w:color w:val="555555"/>
          <w:sz w:val="20"/>
          <w:szCs w:val="20"/>
        </w:rPr>
        <w:t xml:space="preserve">13 April 2026</w:t>
      </w:r>
    </w:p>
    <w:p>
      <w:r>
        <w:br w:type="page"/>
      </w:r>
    </w:p>
    <w:p>
      <w:pPr>
        <w:pBdr>
          <w:bottom w:val="single" w:color="1F3864" w:sz="12"/>
        </w:pBdr>
        <w:spacing w:after="180" w:before="360"/>
      </w:pPr>
      <w:r>
        <w:rPr>
          <w:rFonts w:ascii="Calibri" w:cs="Calibri" w:eastAsia="Calibri" w:hAnsi="Calibri"/>
          <w:b/>
          <w:bCs/>
          <w:color w:val="1F3864"/>
          <w:sz w:val="36"/>
          <w:szCs w:val="36"/>
        </w:rPr>
        <w:t xml:space="preserve">Glossary of Key Terms</w:t>
      </w:r>
    </w:p>
    <w:p>
      <w:pPr>
        <w:spacing w:after="140" w:line="300"/>
        <w:jc w:val="both"/>
      </w:pPr>
      <w:r>
        <w:rPr>
          <w:rFonts w:ascii="Calibri" w:cs="Calibri" w:eastAsia="Calibri" w:hAnsi="Calibri"/>
          <w:sz w:val="22"/>
          <w:szCs w:val="22"/>
        </w:rPr>
        <w:t xml:space="preserve">Acronyms used throughout this note, defined up front so the summary reads cleanly:</w:t>
      </w:r>
    </w:p>
    <w:tbl>
      <w:tblPr>
        <w:tblW w:type="dxa" w:w="10800"/>
        <w:tblBorders>
          <w:top w:val="single" w:color="1F3864" w:sz="6"/>
          <w:left w:val="single" w:color="DDDDDD" w:sz="4"/>
          <w:bottom w:val="single" w:color="1F3864" w:sz="6"/>
          <w:right w:val="single" w:color="DDDDDD" w:sz="4"/>
          <w:insideH w:val="single" w:color="DDDDDD" w:sz="4"/>
          <w:insideV w:val="single" w:color="DDDDDD" w:sz="4"/>
        </w:tblBorders>
      </w:tblPr>
      <w:tblGrid>
        <w:gridCol w:w="2400"/>
        <w:gridCol w:w="8400"/>
      </w:tblGrid>
      <w:tr>
        <w:trPr>
          <w:tblHeader/>
        </w:trPr>
        <w:tc>
          <w:tcPr>
            <w:tcW w:type="dxa" w:w="24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Term</w:t>
            </w:r>
          </w:p>
        </w:tc>
        <w:tc>
          <w:tcPr>
            <w:tcW w:type="dxa" w:w="84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Meaning</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AD</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Alzheimer's Disease</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AdCom</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Advisory Committee — a panel of external experts convened by the FDA to advise on a drug approval decision</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BTD</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Breakthrough Therapy Designation — FDA status granted to drugs that may offer substantial improvement over existing therapies for serious conditions; enables expedited review</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CGI-S</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Clinical Global Impression of Severity — a clinician-rated scale of overall illness severity (secondary endpoint in AXS-05 trials)</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CMAI</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Cohen-Mansfield Agitation Inventory — the standard rating scale for agitation in dementia; primary endpoint in the AXS-05 Phase 3 program</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CMS</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Centers for Medicare and Medicaid Services — the US federal agency administering Medicare and Medicaid reimbursement</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CNS</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Central Nervous System — the therapeutic area covering brain/neurological/psychiatric conditions</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CRL</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Complete Response Letter — the FDA's formal mechanism for declining to approve a drug application as submitted</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FDA</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US Food and Drug Administration</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HR</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Hazard Ratio — the ratio of event rates between treatment and control; HR &lt; 1 indicates treatment reduces the event rate</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IV</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Implied Volatility — option-market-implied expected price volatility, a key input to options pricing</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LTC</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Long-Term Care — nursing homes and assisted-living facilities, a major prescribing channel for AD-agitation drugs</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MCI</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Mild Cognitive Impairment — a cognitive decline stage preceding dementia</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MDD</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Major Depressive Disorder — the originally approved indication for AXS-05 (marketed as Auvelity)</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NDA / sNDA</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New Drug Application / Supplemental NDA — the formal FDA filing to approve a drug (sNDA adds a new indication to an already-approved drug)</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NMDA</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N-Methyl-D-Aspartate — a glutamate receptor subtype; AXS-05's dextromethorphan component is an NMDA receptor antagonist</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OTM</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Out-of-the-Money — options with strike prices beyond the current stock price; used for hedging or asymmetric exposure</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PDUFA</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Prescription Drug User Fee Act — the FDA's target action date for a drug-approval decision</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Priority Review</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FDA designation that shortens review time from 10 months to 6 months for drugs that may offer significant advances</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PT</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Price Target — a sell-side analyst's projected 12-month stock price</w:t>
            </w:r>
          </w:p>
        </w:tc>
      </w:tr>
      <w:tr>
        <w:tc>
          <w:tcPr>
            <w:tcW w:type="dxa" w:w="2400"/>
            <w:tcMar>
              <w:top w:type="dxa" w:w="80"/>
              <w:left w:type="dxa" w:w="120"/>
              <w:bottom w:type="dxa" w:w="80"/>
              <w:right w:type="dxa" w:w="120"/>
            </w:tcMar>
          </w:tcPr>
          <w:p>
            <w:pPr>
              <w:jc w:val="left"/>
            </w:pPr>
            <w:r>
              <w:rPr>
                <w:rFonts w:ascii="Calibri" w:cs="Calibri" w:eastAsia="Calibri" w:hAnsi="Calibri"/>
                <w:b/>
                <w:bCs/>
                <w:sz w:val="20"/>
                <w:szCs w:val="20"/>
              </w:rPr>
              <w:t xml:space="preserve">RCT</w:t>
            </w:r>
          </w:p>
        </w:tc>
        <w:tc>
          <w:tcPr>
            <w:tcW w:type="dxa" w:w="8400"/>
            <w:tcMar>
              <w:top w:type="dxa" w:w="80"/>
              <w:left w:type="dxa" w:w="120"/>
              <w:bottom w:type="dxa" w:w="80"/>
              <w:right w:type="dxa" w:w="120"/>
            </w:tcMar>
          </w:tcPr>
          <w:p>
            <w:pPr>
              <w:jc w:val="left"/>
            </w:pPr>
            <w:r>
              <w:rPr>
                <w:rFonts w:ascii="Calibri" w:cs="Calibri" w:eastAsia="Calibri" w:hAnsi="Calibri"/>
                <w:sz w:val="20"/>
                <w:szCs w:val="20"/>
              </w:rPr>
              <w:t xml:space="preserve">Randomized Controlled Trial — the gold-standard clinical trial design</w:t>
            </w:r>
          </w:p>
        </w:tc>
      </w:tr>
      <w:tr>
        <w:tc>
          <w:tcPr>
            <w:tcW w:type="dxa" w:w="24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YoY</w:t>
            </w:r>
          </w:p>
        </w:tc>
        <w:tc>
          <w:tcPr>
            <w:tcW w:type="dxa" w:w="84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Year-over-Year growth</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Summary</w:t>
      </w:r>
    </w:p>
    <w:p>
      <w:pPr>
        <w:spacing w:after="140" w:line="300"/>
        <w:jc w:val="both"/>
      </w:pPr>
      <w:r>
        <w:rPr>
          <w:rFonts w:ascii="Calibri" w:cs="Calibri" w:eastAsia="Calibri" w:hAnsi="Calibri"/>
          <w:sz w:val="22"/>
          <w:szCs w:val="22"/>
        </w:rPr>
        <w:t xml:space="preserve">Axsome Therapeutics has a binary regulatory catalyst on </w:t>
      </w:r>
      <w:r>
        <w:rPr>
          <w:rFonts w:ascii="Calibri" w:cs="Calibri" w:eastAsia="Calibri" w:hAnsi="Calibri"/>
          <w:b/>
          <w:bCs/>
          <w:sz w:val="22"/>
          <w:szCs w:val="22"/>
        </w:rPr>
        <w:t xml:space="preserve">30 April 2026</w:t>
      </w:r>
      <w:r>
        <w:rPr>
          <w:rFonts w:ascii="Calibri" w:cs="Calibri" w:eastAsia="Calibri" w:hAnsi="Calibri"/>
          <w:sz w:val="22"/>
          <w:szCs w:val="22"/>
        </w:rPr>
        <w:t xml:space="preserve"> — a US Food and Drug Administration (FDA) decision on AXS-05 for agitation associated with Alzheimer's Disease (AD). The filing carries </w:t>
      </w:r>
      <w:r>
        <w:rPr>
          <w:rFonts w:ascii="Calibri" w:cs="Calibri" w:eastAsia="Calibri" w:hAnsi="Calibri"/>
          <w:b/>
          <w:bCs/>
          <w:sz w:val="22"/>
          <w:szCs w:val="22"/>
        </w:rPr>
        <w:t xml:space="preserve">Breakthrough Therapy Designation (BTD)</w:t>
      </w:r>
      <w:r>
        <w:rPr>
          <w:rFonts w:ascii="Calibri" w:cs="Calibri" w:eastAsia="Calibri" w:hAnsi="Calibri"/>
          <w:sz w:val="22"/>
          <w:szCs w:val="22"/>
        </w:rPr>
        <w:t xml:space="preserve">, granted June 2020, along with </w:t>
      </w:r>
      <w:r>
        <w:rPr>
          <w:rFonts w:ascii="Calibri" w:cs="Calibri" w:eastAsia="Calibri" w:hAnsi="Calibri"/>
          <w:b/>
          <w:bCs/>
          <w:sz w:val="22"/>
          <w:szCs w:val="22"/>
        </w:rPr>
        <w:t xml:space="preserve">Priority Review</w:t>
      </w:r>
      <w:r>
        <w:rPr>
          <w:rFonts w:ascii="Calibri" w:cs="Calibri" w:eastAsia="Calibri" w:hAnsi="Calibri"/>
          <w:sz w:val="22"/>
          <w:szCs w:val="22"/>
        </w:rPr>
        <w:t xml:space="preserve">, and </w:t>
      </w:r>
      <w:r>
        <w:rPr>
          <w:rFonts w:ascii="Calibri" w:cs="Calibri" w:eastAsia="Calibri" w:hAnsi="Calibri"/>
          <w:b/>
          <w:bCs/>
          <w:sz w:val="22"/>
          <w:szCs w:val="22"/>
        </w:rPr>
        <w:t xml:space="preserve">no Advisory Committee (AdCom) meeting has been scheduled</w:t>
      </w:r>
      <w:r>
        <w:rPr>
          <w:rFonts w:ascii="Calibri" w:cs="Calibri" w:eastAsia="Calibri" w:hAnsi="Calibri"/>
          <w:sz w:val="22"/>
          <w:szCs w:val="22"/>
        </w:rPr>
        <w:t xml:space="preserve">. That combination historically correlates with very high approval rates. The stock closed at $178.11 on 13 April 2026 against a consensus 12-month price target of $213–$226 (UBS high, raised to $259 on 10 April). The gap is not a fundamentals gap — it is the residual echo of a single ambiguous clinical headline from 2024, and the Prescription Drug User Fee Act (PDUFA) target action date is the forcing function that collapses it into a decision in days.</w:t>
      </w:r>
    </w:p>
    <w:p>
      <w:pPr>
        <w:spacing w:after="120" w:before="240"/>
      </w:pPr>
      <w:r>
        <w:rPr>
          <w:rFonts w:ascii="Calibri" w:cs="Calibri" w:eastAsia="Calibri" w:hAnsi="Calibri"/>
          <w:b/>
          <w:bCs/>
          <w:color w:val="2B5797"/>
          <w:sz w:val="28"/>
          <w:szCs w:val="28"/>
        </w:rPr>
        <w:t xml:space="preserve">The Case in Five Points</w:t>
      </w:r>
    </w:p>
    <w:p>
      <w:pPr>
        <w:spacing w:after="140" w:line="300"/>
        <w:jc w:val="both"/>
      </w:pPr>
      <w:r>
        <w:rPr>
          <w:rFonts w:ascii="Calibri" w:cs="Calibri" w:eastAsia="Calibri" w:hAnsi="Calibri"/>
          <w:b/>
          <w:bCs/>
          <w:sz w:val="22"/>
          <w:szCs w:val="22"/>
        </w:rPr>
        <w:t xml:space="preserve">1. The regulatory signal stack is very strong. </w:t>
      </w:r>
      <w:r>
        <w:rPr>
          <w:rFonts w:ascii="Calibri" w:cs="Calibri" w:eastAsia="Calibri" w:hAnsi="Calibri"/>
          <w:sz w:val="22"/>
          <w:szCs w:val="22"/>
        </w:rPr>
        <w:t xml:space="preserve">BTD + Priority Review + no AdCom is the highest-conviction combination the FDA grants short of outright accelerated approval. Drugs reaching their PDUFA date with this stack approve at well above the biotech-wide base rate. The absence of an AdCom is itself meaningful: the agency does not appear to need external input.</w:t>
      </w:r>
    </w:p>
    <w:p>
      <w:pPr>
        <w:spacing w:after="140" w:line="300"/>
        <w:jc w:val="both"/>
      </w:pPr>
      <w:r>
        <w:rPr>
          <w:rFonts w:ascii="Calibri" w:cs="Calibri" w:eastAsia="Calibri" w:hAnsi="Calibri"/>
          <w:b/>
          <w:bCs/>
          <w:sz w:val="22"/>
          <w:szCs w:val="22"/>
        </w:rPr>
        <w:t xml:space="preserve">2. Three of four Phase 3 trials hit primary; the market is anchored on the one that didn't. </w:t>
      </w:r>
      <w:r>
        <w:rPr>
          <w:rFonts w:ascii="Calibri" w:cs="Calibri" w:eastAsia="Calibri" w:hAnsi="Calibri"/>
          <w:sz w:val="22"/>
          <w:szCs w:val="22"/>
        </w:rPr>
        <w:t xml:space="preserve">ADVANCE-1, ACCORD-1, and ACCORD-2 all hit their primary endpoints. ADVANCE-2 missed primary on the Cohen-Mansfield Agitation Inventory (CMAI) — −13.8 vs −12.6 at Week 5, P=.415 — in a 5-week randomized controlled trial (RCT) against a high placebo response. Secondary endpoints in ADVANCE-2 numerically favored AXS-05. More importantly, the ACCORD relapse-prevention trials — a far higher evidentiary bar than a short RCT — were emphatically positive. ACCORD-1: hazard ratio (HR) 0.275, P=.014 on time-to-relapse; 7.5% of AXS-05 patients relapsed vs 25.9% on placebo (P=.018). ACCORD-2: HR 0.276, P=.001; 8.4% vs 28.6% relapse (P=.001). Responder-randomization is the design the Centers for Medicare and Medicaid Services (CMS) and payers actually care about in chronic Central Nervous System (CNS) conditions.</w:t>
      </w:r>
    </w:p>
    <w:p>
      <w:pPr>
        <w:spacing w:after="140" w:line="300"/>
        <w:jc w:val="both"/>
      </w:pPr>
      <w:r>
        <w:rPr>
          <w:rFonts w:ascii="Calibri" w:cs="Calibri" w:eastAsia="Calibri" w:hAnsi="Calibri"/>
          <w:b/>
          <w:bCs/>
          <w:sz w:val="22"/>
          <w:szCs w:val="22"/>
        </w:rPr>
        <w:t xml:space="preserve">3. The only approved competitor carries a Boxed Warning. </w:t>
      </w:r>
      <w:r>
        <w:rPr>
          <w:rFonts w:ascii="Calibri" w:cs="Calibri" w:eastAsia="Calibri" w:hAnsi="Calibri"/>
          <w:sz w:val="22"/>
          <w:szCs w:val="22"/>
        </w:rPr>
        <w:t xml:space="preserve">Rexulti (brexpiprazole), approved May 2023, is the first and only FDA-approved treatment for AD agitation. It is an atypical antipsychotic with a Boxed Warning for increased mortality in elderly patients with dementia — pooled analyses found ~4.5% mortality on drug vs ~2.6% on placebo over 10-week trials. AXS-05 is a non-antipsychotic dextromethorphan/bupropion combination (an NMDA receptor antagonist). In a population where caregivers and long-term care (LTC) facilities are acutely sensitive to mortality risk, this is not a marketing footnote — it is a prescribing primary driver. If approved, AXS-05 would be the first non-antipsychotic option.</w:t>
      </w:r>
    </w:p>
    <w:p>
      <w:pPr>
        <w:spacing w:after="140" w:line="300"/>
        <w:jc w:val="both"/>
      </w:pPr>
      <w:r>
        <w:rPr>
          <w:rFonts w:ascii="Calibri" w:cs="Calibri" w:eastAsia="Calibri" w:hAnsi="Calibri"/>
          <w:b/>
          <w:bCs/>
          <w:sz w:val="22"/>
          <w:szCs w:val="22"/>
        </w:rPr>
        <w:t xml:space="preserve">4. The commercial market is larger than most sell-side models show. </w:t>
      </w:r>
      <w:r>
        <w:rPr>
          <w:rFonts w:ascii="Calibri" w:cs="Calibri" w:eastAsia="Calibri" w:hAnsi="Calibri"/>
          <w:sz w:val="22"/>
          <w:szCs w:val="22"/>
        </w:rPr>
        <w:t xml:space="preserve">The US documented ~5.23 million diagnosed cases of AD-linked agitation in 2023 — a measured, claims-based count, not a modeled prevalence estimate. That figure is meaningfully above the ~3.25M addressable population anchored in many sell-side models, which apply point-prevalence rates (typically 45–50%) to the age-65+ AD-dementia population. Lifetime-prevalence estimates run as high as 76% and serve as a ceiling rather than a central estimate. The specific size of the re-rating is debatable; the direction is not. Axsome already has commercial infrastructure in place: Auvelity (AXS-05 for Major Depressive Disorder, or MDD) did $507.1M in FY2025 revenue (+74% year-over-year, or YoY), ~225,000 prescriptions in Q4, and ~86% commercial payer coverage. AD agitation is a label expansion, not a new launch.</w:t>
      </w:r>
    </w:p>
    <w:p>
      <w:pPr>
        <w:spacing w:after="140" w:line="300"/>
        <w:jc w:val="both"/>
      </w:pPr>
      <w:r>
        <w:rPr>
          <w:rFonts w:ascii="Calibri" w:cs="Calibri" w:eastAsia="Calibri" w:hAnsi="Calibri"/>
          <w:b/>
          <w:bCs/>
          <w:sz w:val="22"/>
          <w:szCs w:val="22"/>
        </w:rPr>
        <w:t xml:space="preserve">5. The valuation gap is a narrative gap, not a fundamentals gap. </w:t>
      </w:r>
      <w:r>
        <w:rPr>
          <w:rFonts w:ascii="Calibri" w:cs="Calibri" w:eastAsia="Calibri" w:hAnsi="Calibri"/>
          <w:sz w:val="22"/>
          <w:szCs w:val="22"/>
        </w:rPr>
        <w:t xml:space="preserve">At $178.11 (13 April close) versus a consensus 12-month price target of $213–$226 and a UBS high of $259, the stock prices meaningful approval doubt. The BTD + Priority Review + no-AdCom stack, the ACCORD data, and Axsome's commercial footprint do not support that level of doubt. The gap closes on or around 30 April.</w:t>
      </w:r>
    </w:p>
    <w:p>
      <w:pPr>
        <w:spacing w:after="120" w:before="240"/>
      </w:pPr>
      <w:r>
        <w:rPr>
          <w:rFonts w:ascii="Calibri" w:cs="Calibri" w:eastAsia="Calibri" w:hAnsi="Calibri"/>
          <w:b/>
          <w:bCs/>
          <w:color w:val="2B5797"/>
          <w:sz w:val="28"/>
          <w:szCs w:val="28"/>
        </w:rPr>
        <w:t xml:space="preserve">Key Numbers</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3600"/>
        <w:gridCol w:w="3200"/>
        <w:gridCol w:w="4000"/>
      </w:tblGrid>
      <w:tr>
        <w:trPr>
          <w:tblHeader/>
        </w:trPr>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tcW w:type="dxa" w:w="32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w:t>
            </w:r>
          </w:p>
        </w:tc>
        <w:tc>
          <w:tcPr>
            <w:tcW w:type="dxa" w:w="40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Current share price</w:t>
            </w:r>
          </w:p>
        </w:tc>
        <w:tc>
          <w:tcPr>
            <w:tcW w:type="dxa" w:w="3200"/>
            <w:tcMar>
              <w:top w:type="dxa" w:w="80"/>
              <w:left w:type="dxa" w:w="120"/>
              <w:bottom w:type="dxa" w:w="80"/>
              <w:right w:type="dxa" w:w="120"/>
            </w:tcMar>
          </w:tcPr>
          <w:p>
            <w:pPr>
              <w:jc w:val="left"/>
            </w:pPr>
            <w:r>
              <w:rPr>
                <w:rFonts w:ascii="Calibri" w:cs="Calibri" w:eastAsia="Calibri" w:hAnsi="Calibri"/>
                <w:sz w:val="20"/>
                <w:szCs w:val="20"/>
              </w:rPr>
              <w:t xml:space="preserve">$178.11</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13 April 2026 close</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Consensus 12-mo PT</w:t>
            </w:r>
          </w:p>
        </w:tc>
        <w:tc>
          <w:tcPr>
            <w:tcW w:type="dxa" w:w="32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$213–$226</w:t>
            </w:r>
          </w:p>
        </w:tc>
        <w:tc>
          <w:tcPr>
            <w:tcW w:type="dxa" w:w="40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16–21 analysts tracked across sources</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High PT (UBS, 10 Apr)</w:t>
            </w:r>
          </w:p>
        </w:tc>
        <w:tc>
          <w:tcPr>
            <w:tcW w:type="dxa" w:w="3200"/>
            <w:tcMar>
              <w:top w:type="dxa" w:w="80"/>
              <w:left w:type="dxa" w:w="120"/>
              <w:bottom w:type="dxa" w:w="80"/>
              <w:right w:type="dxa" w:w="120"/>
            </w:tcMar>
          </w:tcPr>
          <w:p>
            <w:pPr>
              <w:jc w:val="left"/>
            </w:pPr>
            <w:r>
              <w:rPr>
                <w:rFonts w:ascii="Calibri" w:cs="Calibri" w:eastAsia="Calibri" w:hAnsi="Calibri"/>
                <w:b/>
                <w:bCs/>
                <w:sz w:val="20"/>
                <w:szCs w:val="20"/>
              </w:rPr>
              <w:t xml:space="preserve">$259</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Implies ~45% upside from spot</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PDUFA date</w:t>
            </w:r>
          </w:p>
        </w:tc>
        <w:tc>
          <w:tcPr>
            <w:tcW w:type="dxa" w:w="32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30 Apr 2026</w:t>
            </w:r>
          </w:p>
        </w:tc>
        <w:tc>
          <w:tcPr>
            <w:tcW w:type="dxa" w:w="40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17 calendar days out</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BTD + Priority Review</w:t>
            </w:r>
          </w:p>
        </w:tc>
        <w:tc>
          <w:tcPr>
            <w:tcW w:type="dxa" w:w="3200"/>
            <w:tcMar>
              <w:top w:type="dxa" w:w="80"/>
              <w:left w:type="dxa" w:w="120"/>
              <w:bottom w:type="dxa" w:w="80"/>
              <w:right w:type="dxa" w:w="120"/>
            </w:tcMar>
          </w:tcPr>
          <w:p>
            <w:pPr>
              <w:jc w:val="left"/>
            </w:pPr>
            <w:r>
              <w:rPr>
                <w:rFonts w:ascii="Calibri" w:cs="Calibri" w:eastAsia="Calibri" w:hAnsi="Calibri"/>
                <w:b/>
                <w:bCs/>
                <w:color w:val="2E7D32"/>
                <w:sz w:val="20"/>
                <w:szCs w:val="20"/>
              </w:rPr>
              <w:t xml:space="preserve">Both</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BTD June 2020; Priority Review Dec 2025</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AdCom</w:t>
            </w:r>
          </w:p>
        </w:tc>
        <w:tc>
          <w:tcPr>
            <w:tcW w:type="dxa" w:w="3200"/>
            <w:shd w:fill="F4F6FA" w:color="auto" w:val="clear"/>
            <w:tcMar>
              <w:top w:type="dxa" w:w="80"/>
              <w:left w:type="dxa" w:w="120"/>
              <w:bottom w:type="dxa" w:w="80"/>
              <w:right w:type="dxa" w:w="120"/>
            </w:tcMar>
          </w:tcPr>
          <w:p>
            <w:pPr>
              <w:jc w:val="left"/>
            </w:pPr>
            <w:r>
              <w:rPr>
                <w:rFonts w:ascii="Calibri" w:cs="Calibri" w:eastAsia="Calibri" w:hAnsi="Calibri"/>
                <w:b/>
                <w:bCs/>
                <w:color w:val="2E7D32"/>
                <w:sz w:val="20"/>
                <w:szCs w:val="20"/>
              </w:rPr>
              <w:t xml:space="preserve">None scheduled</w:t>
            </w:r>
          </w:p>
        </w:tc>
        <w:tc>
          <w:tcPr>
            <w:tcW w:type="dxa" w:w="40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Reduces process risk</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FY2025 total revenue</w:t>
            </w:r>
          </w:p>
        </w:tc>
        <w:tc>
          <w:tcPr>
            <w:tcW w:type="dxa" w:w="3200"/>
            <w:tcMar>
              <w:top w:type="dxa" w:w="80"/>
              <w:left w:type="dxa" w:w="120"/>
              <w:bottom w:type="dxa" w:w="80"/>
              <w:right w:type="dxa" w:w="120"/>
            </w:tcMar>
          </w:tcPr>
          <w:p>
            <w:pPr>
              <w:jc w:val="left"/>
            </w:pPr>
            <w:r>
              <w:rPr>
                <w:rFonts w:ascii="Calibri" w:cs="Calibri" w:eastAsia="Calibri" w:hAnsi="Calibri"/>
                <w:sz w:val="20"/>
                <w:szCs w:val="20"/>
              </w:rPr>
              <w:t xml:space="preserve">$638.5M</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+66% YoY</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Auvelity FY2025</w:t>
            </w:r>
          </w:p>
        </w:tc>
        <w:tc>
          <w:tcPr>
            <w:tcW w:type="dxa" w:w="32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$507.1M</w:t>
            </w:r>
          </w:p>
        </w:tc>
        <w:tc>
          <w:tcPr>
            <w:tcW w:type="dxa" w:w="40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+74% YoY</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Payer coverage</w:t>
            </w:r>
          </w:p>
        </w:tc>
        <w:tc>
          <w:tcPr>
            <w:tcW w:type="dxa" w:w="3200"/>
            <w:tcMar>
              <w:top w:type="dxa" w:w="80"/>
              <w:left w:type="dxa" w:w="120"/>
              <w:bottom w:type="dxa" w:w="80"/>
              <w:right w:type="dxa" w:w="120"/>
            </w:tcMar>
          </w:tcPr>
          <w:p>
            <w:pPr>
              <w:jc w:val="left"/>
            </w:pPr>
            <w:r>
              <w:rPr>
                <w:rFonts w:ascii="Calibri" w:cs="Calibri" w:eastAsia="Calibri" w:hAnsi="Calibri"/>
                <w:sz w:val="20"/>
                <w:szCs w:val="20"/>
              </w:rPr>
              <w:t xml:space="preserve">~86%</w:t>
            </w:r>
          </w:p>
        </w:tc>
        <w:tc>
          <w:tcPr>
            <w:tcW w:type="dxa" w:w="4000"/>
            <w:tcMar>
              <w:top w:type="dxa" w:w="80"/>
              <w:left w:type="dxa" w:w="120"/>
              <w:bottom w:type="dxa" w:w="80"/>
              <w:right w:type="dxa" w:w="120"/>
            </w:tcMar>
          </w:tcPr>
          <w:p>
            <w:pPr>
              <w:jc w:val="left"/>
            </w:pPr>
            <w:r>
              <w:rPr>
                <w:rFonts w:ascii="Calibri" w:cs="Calibri" w:eastAsia="Calibri" w:hAnsi="Calibri"/>
                <w:sz w:val="20"/>
                <w:szCs w:val="20"/>
              </w:rPr>
              <w:t xml:space="preserve">Commercial lives, Auvelity</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Investment score</w:t>
            </w:r>
          </w:p>
        </w:tc>
        <w:tc>
          <w:tcPr>
            <w:tcW w:type="dxa" w:w="3200"/>
            <w:shd w:fill="F4F6FA" w:color="auto" w:val="clear"/>
            <w:tcMar>
              <w:top w:type="dxa" w:w="80"/>
              <w:left w:type="dxa" w:w="120"/>
              <w:bottom w:type="dxa" w:w="80"/>
              <w:right w:type="dxa" w:w="120"/>
            </w:tcMar>
          </w:tcPr>
          <w:p>
            <w:pPr>
              <w:jc w:val="left"/>
            </w:pPr>
            <w:r>
              <w:rPr>
                <w:rFonts w:ascii="Calibri" w:cs="Calibri" w:eastAsia="Calibri" w:hAnsi="Calibri"/>
                <w:b/>
                <w:bCs/>
                <w:color w:val="2E7D32"/>
                <w:sz w:val="20"/>
                <w:szCs w:val="20"/>
              </w:rPr>
              <w:t xml:space="preserve">30.75 / 42.5</w:t>
            </w:r>
          </w:p>
        </w:tc>
        <w:tc>
          <w:tcPr>
            <w:tcW w:type="dxa" w:w="40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7-dimension weighted framework — Buy</w:t>
            </w:r>
          </w:p>
        </w:tc>
      </w:tr>
    </w:tbl>
    <w:p>
      <w:pPr>
        <w:spacing w:after="120" w:before="240"/>
      </w:pPr>
      <w:r>
        <w:rPr>
          <w:rFonts w:ascii="Calibri" w:cs="Calibri" w:eastAsia="Calibri" w:hAnsi="Calibri"/>
          <w:b/>
          <w:bCs/>
          <w:color w:val="2B5797"/>
          <w:sz w:val="28"/>
          <w:szCs w:val="28"/>
        </w:rPr>
        <w:t xml:space="preserve">The Asymmetry</w:t>
      </w:r>
    </w:p>
    <w:p>
      <w:pPr>
        <w:spacing w:after="140" w:line="300"/>
        <w:jc w:val="both"/>
      </w:pPr>
      <w:r>
        <w:rPr>
          <w:rFonts w:ascii="Calibri" w:cs="Calibri" w:eastAsia="Calibri" w:hAnsi="Calibri"/>
          <w:b/>
          <w:bCs/>
          <w:sz w:val="22"/>
          <w:szCs w:val="22"/>
        </w:rPr>
        <w:t xml:space="preserve">Base case (~55%): </w:t>
      </w:r>
      <w:r>
        <w:rPr>
          <w:rFonts w:ascii="Calibri" w:cs="Calibri" w:eastAsia="Calibri" w:hAnsi="Calibri"/>
          <w:sz w:val="22"/>
          <w:szCs w:val="22"/>
        </w:rPr>
        <w:t xml:space="preserve">Approval with a broad label. Stock re-rates toward $220–$240 (+24–35% from $178 spot).</w:t>
      </w:r>
    </w:p>
    <w:p>
      <w:pPr>
        <w:spacing w:after="140" w:line="300"/>
        <w:jc w:val="both"/>
      </w:pPr>
      <w:r>
        <w:rPr>
          <w:rFonts w:ascii="Calibri" w:cs="Calibri" w:eastAsia="Calibri" w:hAnsi="Calibri"/>
          <w:b/>
          <w:bCs/>
          <w:sz w:val="22"/>
          <w:szCs w:val="22"/>
        </w:rPr>
        <w:t xml:space="preserve">Bull case (~25%): </w:t>
      </w:r>
      <w:r>
        <w:rPr>
          <w:rFonts w:ascii="Calibri" w:cs="Calibri" w:eastAsia="Calibri" w:hAnsi="Calibri"/>
          <w:sz w:val="22"/>
          <w:szCs w:val="22"/>
        </w:rPr>
        <w:t xml:space="preserve">Approval with broader label (e.g., explicit maintenance-of-response language from ACCORD) and analyst PT hikes. $260–$290 (+46–63% from $178).</w:t>
      </w:r>
    </w:p>
    <w:p>
      <w:pPr>
        <w:spacing w:after="140" w:line="300"/>
        <w:jc w:val="both"/>
      </w:pPr>
      <w:r>
        <w:rPr>
          <w:rFonts w:ascii="Calibri" w:cs="Calibri" w:eastAsia="Calibri" w:hAnsi="Calibri"/>
          <w:b/>
          <w:bCs/>
          <w:sz w:val="22"/>
          <w:szCs w:val="22"/>
        </w:rPr>
        <w:t xml:space="preserve">Bear case (~20%): </w:t>
      </w:r>
      <w:r>
        <w:rPr>
          <w:rFonts w:ascii="Calibri" w:cs="Calibri" w:eastAsia="Calibri" w:hAnsi="Calibri"/>
          <w:sz w:val="22"/>
          <w:szCs w:val="22"/>
        </w:rPr>
        <w:t xml:space="preserve">Complete Response Letter (CRL) or narrowed label. Stock back to $115–$135 (−24–35% from $178).</w:t>
      </w:r>
    </w:p>
    <w:p>
      <w:pPr>
        <w:spacing w:after="140" w:line="300"/>
        <w:jc w:val="both"/>
      </w:pPr>
      <w:r>
        <w:rPr>
          <w:rFonts w:ascii="Calibri" w:cs="Calibri" w:eastAsia="Calibri" w:hAnsi="Calibri"/>
          <w:b/>
          <w:bCs/>
          <w:sz w:val="22"/>
          <w:szCs w:val="22"/>
        </w:rPr>
        <w:t xml:space="preserve">Probability-weighted expected return: </w:t>
      </w:r>
      <w:r>
        <w:rPr>
          <w:rFonts w:ascii="Calibri" w:cs="Calibri" w:eastAsia="Calibri" w:hAnsi="Calibri"/>
          <w:sz w:val="22"/>
          <w:szCs w:val="22"/>
        </w:rPr>
        <w:t xml:space="preserve">roughly +15% to +22% on a volume-weighted basis, but the mean conceals the distribution. Sizing matters as much as direction here.</w:t>
      </w:r>
    </w:p>
    <w:p>
      <w:pPr>
        <w:spacing w:after="120" w:before="240"/>
      </w:pPr>
      <w:r>
        <w:rPr>
          <w:rFonts w:ascii="Calibri" w:cs="Calibri" w:eastAsia="Calibri" w:hAnsi="Calibri"/>
          <w:b/>
          <w:bCs/>
          <w:color w:val="2B5797"/>
          <w:sz w:val="28"/>
          <w:szCs w:val="28"/>
        </w:rPr>
        <w:t xml:space="preserve">Recommendation</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Buy. High conviction.</w:t>
            </w:r>
          </w:p>
          <w:p>
            <w:pPr>
              <w:spacing w:after="140" w:line="300"/>
              <w:jc w:val="both"/>
            </w:pPr>
            <w:r>
              <w:rPr>
                <w:rFonts w:ascii="Calibri" w:cs="Calibri" w:eastAsia="Calibri" w:hAnsi="Calibri"/>
                <w:sz w:val="22"/>
                <w:szCs w:val="22"/>
              </w:rPr>
              <w:t xml:space="preserve">Long equity into the PDUFA, sized to tolerate the bear-case drawdown. Enter before implied volatility (IV) fully inflates; exit on or immediately after 30 April. Consider a modest put hedge (strike $135–$140, 1–2 weeks past PDUFA) as insurance — hedge cost should be a fraction of the expected approval payoff.</w:t>
            </w:r>
          </w:p>
          <w:p>
            <w:pPr>
              <w:spacing w:after="140" w:line="300"/>
              <w:jc w:val="both"/>
            </w:pPr>
            <w:r>
              <w:rPr>
                <w:rFonts w:ascii="Calibri" w:cs="Calibri" w:eastAsia="Calibri" w:hAnsi="Calibri"/>
                <w:b/>
                <w:bCs/>
                <w:sz w:val="22"/>
                <w:szCs w:val="22"/>
              </w:rPr>
              <w:t xml:space="preserve">Structured bet on a regulatory signal </w:t>
            </w:r>
            <w:r>
              <w:rPr>
                <w:rFonts w:ascii="Calibri" w:cs="Calibri" w:eastAsia="Calibri" w:hAnsi="Calibri"/>
                <w:sz w:val="22"/>
                <w:szCs w:val="22"/>
              </w:rPr>
              <w:t xml:space="preserve">the market has quietly, measurably underweighted.</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i/>
          <w:iCs/>
          <w:sz w:val="22"/>
          <w:szCs w:val="22"/>
        </w:rPr>
        <w:t xml:space="preserve">Full thesis, clinical detail, risk decomposition, and sourcing in the Appendix that follows.</w:t>
      </w:r>
    </w:p>
    <w:p>
      <w:r>
        <w:br w:type="page"/>
      </w:r>
    </w:p>
    <w:p>
      <w:pPr>
        <w:spacing w:after="100" w:before="200"/>
        <w:jc w:val="center"/>
      </w:pPr>
      <w:r>
        <w:rPr>
          <w:rFonts w:ascii="Calibri" w:cs="Calibri" w:eastAsia="Calibri" w:hAnsi="Calibri"/>
          <w:b/>
          <w:bCs/>
          <w:color w:val="555555"/>
          <w:spacing w:val="40"/>
          <w:sz w:val="22"/>
          <w:szCs w:val="22"/>
        </w:rPr>
        <w:t xml:space="preserve">APPENDIX</w:t>
      </w:r>
    </w:p>
    <w:p>
      <w:pPr>
        <w:spacing w:after="500"/>
        <w:jc w:val="center"/>
      </w:pPr>
      <w:r>
        <w:rPr>
          <w:rFonts w:ascii="Calibri" w:cs="Calibri" w:eastAsia="Calibri" w:hAnsi="Calibri"/>
          <w:b/>
          <w:bCs/>
          <w:color w:val="1F3864"/>
          <w:sz w:val="44"/>
          <w:szCs w:val="44"/>
        </w:rPr>
        <w:t xml:space="preserve">Full Investment Thesis</w:t>
      </w:r>
    </w:p>
    <w:p>
      <w:pPr>
        <w:pBdr>
          <w:bottom w:val="single" w:color="1F3864" w:sz="12"/>
        </w:pBdr>
        <w:spacing w:after="180" w:before="360"/>
      </w:pPr>
      <w:r>
        <w:rPr>
          <w:rFonts w:ascii="Calibri" w:cs="Calibri" w:eastAsia="Calibri" w:hAnsi="Calibri"/>
          <w:b/>
          <w:bCs/>
          <w:color w:val="1F3864"/>
          <w:sz w:val="36"/>
          <w:szCs w:val="36"/>
        </w:rPr>
        <w:t xml:space="preserve">A.1  Why Now — The Window Is Closing</w:t>
      </w:r>
    </w:p>
    <w:p>
      <w:pPr>
        <w:spacing w:after="140" w:line="300"/>
        <w:jc w:val="both"/>
      </w:pPr>
      <w:r>
        <w:rPr>
          <w:rFonts w:ascii="Calibri" w:cs="Calibri" w:eastAsia="Calibri" w:hAnsi="Calibri"/>
          <w:sz w:val="22"/>
          <w:szCs w:val="22"/>
        </w:rPr>
        <w:t xml:space="preserve">Every investment thesis has a clock. This one ticks in days.</w:t>
      </w:r>
    </w:p>
    <w:p>
      <w:pPr>
        <w:spacing w:after="140" w:line="300"/>
        <w:jc w:val="both"/>
      </w:pPr>
      <w:r>
        <w:rPr>
          <w:rFonts w:ascii="Calibri" w:cs="Calibri" w:eastAsia="Calibri" w:hAnsi="Calibri"/>
          <w:sz w:val="22"/>
          <w:szCs w:val="22"/>
        </w:rPr>
        <w:t xml:space="preserve">On 30 April 2026 — 17 days from this note — the FDA issues a decision on Axsome's supplemental New Drug Application (sNDA) for AXS-05 in agitation associated with AD. The PDUFA target action date is fixed. The filing is under Priority Review. BTD was granted in June 2020, based on the positive ADVANCE-1 trial. No AdCom has been scheduled, which is itself a meaningful signal: the agency does not appear to need external input to reach a decision.</w:t>
      </w:r>
    </w:p>
    <w:p>
      <w:pPr>
        <w:spacing w:after="140" w:line="300"/>
        <w:jc w:val="both"/>
      </w:pPr>
      <w:r>
        <w:rPr>
          <w:rFonts w:ascii="Calibri" w:cs="Calibri" w:eastAsia="Calibri" w:hAnsi="Calibri"/>
          <w:sz w:val="22"/>
          <w:szCs w:val="22"/>
        </w:rPr>
        <w:t xml:space="preserve">Three practical implications follow from the timing:</w:t>
      </w:r>
    </w:p>
    <w:p>
      <w:pPr>
        <w:pStyle w:val="ListParagraph"/>
        <w:numPr>
          <w:ilvl w:val="0"/>
          <w:numId w:val="2"/>
        </w:numPr>
        <w:spacing w:after="80" w:line="280"/>
        <w:jc w:val="left"/>
      </w:pPr>
      <w:r>
        <w:rPr>
          <w:rFonts w:ascii="Calibri" w:cs="Calibri" w:eastAsia="Calibri" w:hAnsi="Calibri"/>
          <w:sz w:val="22"/>
          <w:szCs w:val="22"/>
        </w:rPr>
        <w:t xml:space="preserve">The information-asymmetry window is narrow. Most of what the market will price before approval has already been priced.</w:t>
      </w:r>
    </w:p>
    <w:p>
      <w:pPr>
        <w:pStyle w:val="ListParagraph"/>
        <w:numPr>
          <w:ilvl w:val="0"/>
          <w:numId w:val="2"/>
        </w:numPr>
        <w:spacing w:after="80" w:line="280"/>
        <w:jc w:val="left"/>
      </w:pPr>
      <w:r>
        <w:rPr>
          <w:rFonts w:ascii="Calibri" w:cs="Calibri" w:eastAsia="Calibri" w:hAnsi="Calibri"/>
          <w:sz w:val="22"/>
          <w:szCs w:val="22"/>
        </w:rPr>
        <w:t xml:space="preserve">Post-event, the thesis collapses to one of two states — a re-rated equity or a broken one.</w:t>
      </w:r>
    </w:p>
    <w:p>
      <w:pPr>
        <w:pStyle w:val="ListParagraph"/>
        <w:numPr>
          <w:ilvl w:val="0"/>
          <w:numId w:val="2"/>
        </w:numPr>
        <w:spacing w:after="80" w:line="280"/>
        <w:jc w:val="left"/>
      </w:pPr>
      <w:r>
        <w:rPr>
          <w:rFonts w:ascii="Calibri" w:cs="Calibri" w:eastAsia="Calibri" w:hAnsi="Calibri"/>
          <w:sz w:val="22"/>
          <w:szCs w:val="22"/>
        </w:rPr>
        <w:t xml:space="preserve">Options markets typically inflate IV in the final week; entry before that inflation pays, or positions should be structured around it.</w:t>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Why timing matters</w:t>
            </w:r>
          </w:p>
          <w:p>
            <w:pPr>
              <w:spacing w:after="140" w:line="300"/>
              <w:jc w:val="both"/>
            </w:pPr>
            <w:r>
              <w:rPr>
                <w:rFonts w:ascii="Calibri" w:cs="Calibri" w:eastAsia="Calibri" w:hAnsi="Calibri"/>
                <w:sz w:val="22"/>
                <w:szCs w:val="22"/>
              </w:rPr>
              <w:t xml:space="preserve">17 days is inside the window where biotech traders usually compress positioning. Conviction built before IV inflation has historically rewarded patient capital. After T-10, the cost of entry rises sharply without the thesis changing.</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A.2  The Company — A CNS Franchise, Not a Single-Shot Biotech</w:t>
      </w:r>
    </w:p>
    <w:p>
      <w:pPr>
        <w:spacing w:after="140" w:line="300"/>
        <w:jc w:val="both"/>
      </w:pPr>
      <w:r>
        <w:rPr>
          <w:rFonts w:ascii="Calibri" w:cs="Calibri" w:eastAsia="Calibri" w:hAnsi="Calibri"/>
          <w:sz w:val="22"/>
          <w:szCs w:val="22"/>
        </w:rPr>
        <w:t xml:space="preserve">Axsome Therapeutics is </w:t>
      </w:r>
      <w:r>
        <w:rPr>
          <w:rFonts w:ascii="Calibri" w:cs="Calibri" w:eastAsia="Calibri" w:hAnsi="Calibri"/>
          <w:b/>
          <w:bCs/>
          <w:sz w:val="22"/>
          <w:szCs w:val="22"/>
        </w:rPr>
        <w:t xml:space="preserve">not a clinical-stage biotech making a first swing</w:t>
      </w:r>
      <w:r>
        <w:rPr>
          <w:rFonts w:ascii="Calibri" w:cs="Calibri" w:eastAsia="Calibri" w:hAnsi="Calibri"/>
          <w:sz w:val="22"/>
          <w:szCs w:val="22"/>
        </w:rPr>
        <w:t xml:space="preserve">. It is a revenue-generating CNS specialty company with three commercial drugs, a scaled sales force, and institutional payer access.</w:t>
      </w:r>
    </w:p>
    <w:p>
      <w:pPr>
        <w:spacing w:after="80" w:before="180"/>
      </w:pPr>
      <w:r>
        <w:rPr>
          <w:rFonts w:ascii="Calibri" w:cs="Calibri" w:eastAsia="Calibri" w:hAnsi="Calibri"/>
          <w:b/>
          <w:bCs/>
          <w:color w:val="555555"/>
          <w:sz w:val="24"/>
          <w:szCs w:val="24"/>
        </w:rPr>
        <w:t xml:space="preserve">Commercial base (FY2025, preliminary)</w:t>
      </w:r>
    </w:p>
    <w:p>
      <w:pPr>
        <w:pStyle w:val="ListParagraph"/>
        <w:numPr>
          <w:ilvl w:val="0"/>
          <w:numId w:val="2"/>
        </w:numPr>
        <w:spacing w:after="80" w:line="280"/>
        <w:jc w:val="left"/>
      </w:pPr>
      <w:r>
        <w:rPr>
          <w:rFonts w:ascii="Calibri" w:cs="Calibri" w:eastAsia="Calibri" w:hAnsi="Calibri"/>
          <w:sz w:val="22"/>
          <w:szCs w:val="22"/>
        </w:rPr>
        <w:t xml:space="preserve">Auvelity (dextromethorphan/bupropion; approved Aug 2022 for MDD) — $507.1M (+74% YoY)</w:t>
      </w:r>
    </w:p>
    <w:p>
      <w:pPr>
        <w:pStyle w:val="ListParagraph"/>
        <w:numPr>
          <w:ilvl w:val="0"/>
          <w:numId w:val="2"/>
        </w:numPr>
        <w:spacing w:after="80" w:line="280"/>
        <w:jc w:val="left"/>
      </w:pPr>
      <w:r>
        <w:rPr>
          <w:rFonts w:ascii="Calibri" w:cs="Calibri" w:eastAsia="Calibri" w:hAnsi="Calibri"/>
          <w:sz w:val="22"/>
          <w:szCs w:val="22"/>
        </w:rPr>
        <w:t xml:space="preserve">Sunosi (solriamfetol; acquired from Jazz; approved for excessive daytime sleepiness) — $124.8M</w:t>
      </w:r>
    </w:p>
    <w:p>
      <w:pPr>
        <w:pStyle w:val="ListParagraph"/>
        <w:numPr>
          <w:ilvl w:val="0"/>
          <w:numId w:val="2"/>
        </w:numPr>
        <w:spacing w:after="80" w:line="280"/>
        <w:jc w:val="left"/>
      </w:pPr>
      <w:r>
        <w:rPr>
          <w:rFonts w:ascii="Calibri" w:cs="Calibri" w:eastAsia="Calibri" w:hAnsi="Calibri"/>
          <w:sz w:val="22"/>
          <w:szCs w:val="22"/>
        </w:rPr>
        <w:t xml:space="preserve">Symbravo (approved for acute migraine) — $6.6M (launch year)</w:t>
      </w:r>
    </w:p>
    <w:p>
      <w:pPr>
        <w:pStyle w:val="ListParagraph"/>
        <w:numPr>
          <w:ilvl w:val="0"/>
          <w:numId w:val="2"/>
        </w:numPr>
        <w:spacing w:after="80" w:line="280"/>
        <w:jc w:val="left"/>
      </w:pPr>
      <w:r>
        <w:rPr>
          <w:rFonts w:ascii="Calibri" w:cs="Calibri" w:eastAsia="Calibri" w:hAnsi="Calibri"/>
          <w:sz w:val="22"/>
          <w:szCs w:val="22"/>
        </w:rPr>
        <w:t xml:space="preserve">Total FY2025 revenue: $638.5M (+66% YoY)</w:t>
      </w:r>
    </w:p>
    <w:p>
      <w:pPr>
        <w:pStyle w:val="ListParagraph"/>
        <w:numPr>
          <w:ilvl w:val="0"/>
          <w:numId w:val="2"/>
        </w:numPr>
        <w:spacing w:after="80" w:line="280"/>
        <w:jc w:val="left"/>
      </w:pPr>
      <w:r>
        <w:rPr>
          <w:rFonts w:ascii="Calibri" w:cs="Calibri" w:eastAsia="Calibri" w:hAnsi="Calibri"/>
          <w:sz w:val="22"/>
          <w:szCs w:val="22"/>
        </w:rPr>
        <w:t xml:space="preserve">Q4 Auvelity prescriptions: ~225,000 (+42% YoY)</w:t>
      </w:r>
    </w:p>
    <w:p>
      <w:pPr>
        <w:pStyle w:val="ListParagraph"/>
        <w:numPr>
          <w:ilvl w:val="0"/>
          <w:numId w:val="2"/>
        </w:numPr>
        <w:spacing w:after="80" w:line="280"/>
        <w:jc w:val="left"/>
      </w:pPr>
      <w:r>
        <w:rPr>
          <w:rFonts w:ascii="Calibri" w:cs="Calibri" w:eastAsia="Calibri" w:hAnsi="Calibri"/>
          <w:sz w:val="22"/>
          <w:szCs w:val="22"/>
        </w:rPr>
        <w:t xml:space="preserve">Payer coverage: ~86% of commercial lives</w:t>
      </w:r>
    </w:p>
    <w:p>
      <w:pPr>
        <w:spacing w:after="80" w:before="180"/>
      </w:pPr>
      <w:r>
        <w:rPr>
          <w:rFonts w:ascii="Calibri" w:cs="Calibri" w:eastAsia="Calibri" w:hAnsi="Calibri"/>
          <w:b/>
          <w:bCs/>
          <w:color w:val="555555"/>
          <w:sz w:val="24"/>
          <w:szCs w:val="24"/>
        </w:rPr>
        <w:t xml:space="preserve">Strategic implication</w:t>
      </w:r>
    </w:p>
    <w:p>
      <w:pPr>
        <w:spacing w:after="140" w:line="300"/>
        <w:jc w:val="both"/>
      </w:pPr>
      <w:r>
        <w:rPr>
          <w:rFonts w:ascii="Calibri" w:cs="Calibri" w:eastAsia="Calibri" w:hAnsi="Calibri"/>
          <w:sz w:val="22"/>
          <w:szCs w:val="22"/>
        </w:rPr>
        <w:t xml:space="preserve">AXS-05 in AD agitation is </w:t>
      </w:r>
      <w:r>
        <w:rPr>
          <w:rFonts w:ascii="Calibri" w:cs="Calibri" w:eastAsia="Calibri" w:hAnsi="Calibri"/>
          <w:b/>
          <w:bCs/>
          <w:sz w:val="22"/>
          <w:szCs w:val="22"/>
        </w:rPr>
        <w:t xml:space="preserve">a label expansion, not a product launch</w:t>
      </w:r>
      <w:r>
        <w:rPr>
          <w:rFonts w:ascii="Calibri" w:cs="Calibri" w:eastAsia="Calibri" w:hAnsi="Calibri"/>
          <w:sz w:val="22"/>
          <w:szCs w:val="22"/>
        </w:rPr>
        <w:t xml:space="preserve">. The molecule is already in physician hands, stocked by specialty pharmacies, and covered by 86% of payers. There is no launch execution risk in the traditional sense — only uptake and market share capture. That is a material asymmetry versus peer biotechs pursuing single-indication approvals.</w:t>
      </w:r>
    </w:p>
    <w:p>
      <w:r>
        <w:br w:type="page"/>
      </w:r>
    </w:p>
    <w:p>
      <w:pPr>
        <w:pBdr>
          <w:bottom w:val="single" w:color="1F3864" w:sz="12"/>
        </w:pBdr>
        <w:spacing w:after="180" w:before="360"/>
      </w:pPr>
      <w:r>
        <w:rPr>
          <w:rFonts w:ascii="Calibri" w:cs="Calibri" w:eastAsia="Calibri" w:hAnsi="Calibri"/>
          <w:b/>
          <w:bCs/>
          <w:color w:val="1F3864"/>
          <w:sz w:val="36"/>
          <w:szCs w:val="36"/>
        </w:rPr>
        <w:t xml:space="preserve">A.3  The Catalyst — An Unmet Need Mis-Sized by the Market</w:t>
      </w:r>
    </w:p>
    <w:p>
      <w:pPr>
        <w:spacing w:after="140" w:line="300"/>
        <w:jc w:val="both"/>
      </w:pPr>
      <w:r>
        <w:rPr>
          <w:rFonts w:ascii="Calibri" w:cs="Calibri" w:eastAsia="Calibri" w:hAnsi="Calibri"/>
          <w:sz w:val="22"/>
          <w:szCs w:val="22"/>
        </w:rPr>
        <w:t xml:space="preserve">Agitation is the </w:t>
      </w:r>
      <w:r>
        <w:rPr>
          <w:rFonts w:ascii="Calibri" w:cs="Calibri" w:eastAsia="Calibri" w:hAnsi="Calibri"/>
          <w:b/>
          <w:bCs/>
          <w:sz w:val="22"/>
          <w:szCs w:val="22"/>
        </w:rPr>
        <w:t xml:space="preserve">most destructive</w:t>
      </w:r>
      <w:r>
        <w:rPr>
          <w:rFonts w:ascii="Calibri" w:cs="Calibri" w:eastAsia="Calibri" w:hAnsi="Calibri"/>
          <w:sz w:val="22"/>
          <w:szCs w:val="22"/>
        </w:rPr>
        <w:t xml:space="preserve"> behavioral symptom of AD. It is the single largest driver of nursing-home placement, caregiver burnout, and restraint use. It is the symptom families cite when they say they can no longer keep their loved one at home.</w:t>
      </w:r>
    </w:p>
    <w:p>
      <w:pPr>
        <w:spacing w:after="80" w:before="180"/>
      </w:pPr>
      <w:r>
        <w:rPr>
          <w:rFonts w:ascii="Calibri" w:cs="Calibri" w:eastAsia="Calibri" w:hAnsi="Calibri"/>
          <w:b/>
          <w:bCs/>
          <w:color w:val="555555"/>
          <w:sz w:val="24"/>
          <w:szCs w:val="24"/>
        </w:rPr>
        <w:t xml:space="preserve">Stale anchors (what many sell-side models use)</w:t>
      </w:r>
    </w:p>
    <w:p>
      <w:pPr>
        <w:pStyle w:val="ListParagraph"/>
        <w:numPr>
          <w:ilvl w:val="0"/>
          <w:numId w:val="2"/>
        </w:numPr>
        <w:spacing w:after="80" w:line="280"/>
        <w:jc w:val="left"/>
      </w:pPr>
      <w:r>
        <w:rPr>
          <w:rFonts w:ascii="Calibri" w:cs="Calibri" w:eastAsia="Calibri" w:hAnsi="Calibri"/>
          <w:sz w:val="22"/>
          <w:szCs w:val="22"/>
        </w:rPr>
        <w:t xml:space="preserve">~50% of AD patients experience agitation</w:t>
      </w:r>
    </w:p>
    <w:p>
      <w:pPr>
        <w:pStyle w:val="ListParagraph"/>
        <w:numPr>
          <w:ilvl w:val="0"/>
          <w:numId w:val="2"/>
        </w:numPr>
        <w:spacing w:after="80" w:line="280"/>
        <w:jc w:val="left"/>
      </w:pPr>
      <w:r>
        <w:rPr>
          <w:rFonts w:ascii="Calibri" w:cs="Calibri" w:eastAsia="Calibri" w:hAnsi="Calibri"/>
          <w:sz w:val="22"/>
          <w:szCs w:val="22"/>
        </w:rPr>
        <w:t xml:space="preserve">Addressable US population: ~3.25M</w:t>
      </w:r>
    </w:p>
    <w:p>
      <w:pPr>
        <w:spacing w:after="80" w:before="180"/>
      </w:pPr>
      <w:r>
        <w:rPr>
          <w:rFonts w:ascii="Calibri" w:cs="Calibri" w:eastAsia="Calibri" w:hAnsi="Calibri"/>
          <w:b/>
          <w:bCs/>
          <w:color w:val="555555"/>
          <w:sz w:val="24"/>
          <w:szCs w:val="24"/>
        </w:rPr>
        <w:t xml:space="preserve">What the epidemiology actually supports</w:t>
      </w:r>
    </w:p>
    <w:p>
      <w:pPr>
        <w:pStyle w:val="ListParagraph"/>
        <w:numPr>
          <w:ilvl w:val="0"/>
          <w:numId w:val="2"/>
        </w:numPr>
        <w:spacing w:after="80" w:line="280"/>
        <w:jc w:val="left"/>
      </w:pPr>
      <w:r>
        <w:rPr>
          <w:rFonts w:ascii="Calibri" w:cs="Calibri" w:eastAsia="Calibri" w:hAnsi="Calibri"/>
          <w:sz w:val="22"/>
          <w:szCs w:val="22"/>
        </w:rPr>
        <w:t xml:space="preserve">US documented diagnosed cases of AD-linked agitation (2023): ~5.23M (claims-based count)</w:t>
      </w:r>
    </w:p>
    <w:p>
      <w:pPr>
        <w:pStyle w:val="ListParagraph"/>
        <w:numPr>
          <w:ilvl w:val="0"/>
          <w:numId w:val="2"/>
        </w:numPr>
        <w:spacing w:after="80" w:line="280"/>
        <w:jc w:val="left"/>
      </w:pPr>
      <w:r>
        <w:rPr>
          <w:rFonts w:ascii="Calibri" w:cs="Calibri" w:eastAsia="Calibri" w:hAnsi="Calibri"/>
          <w:sz w:val="22"/>
          <w:szCs w:val="22"/>
        </w:rPr>
        <w:t xml:space="preserve">Total AD-dementia population (US, age 65+): 7.2M</w:t>
      </w:r>
    </w:p>
    <w:p>
      <w:pPr>
        <w:pStyle w:val="ListParagraph"/>
        <w:numPr>
          <w:ilvl w:val="0"/>
          <w:numId w:val="2"/>
        </w:numPr>
        <w:spacing w:after="80" w:line="280"/>
        <w:jc w:val="left"/>
      </w:pPr>
      <w:r>
        <w:rPr>
          <w:rFonts w:ascii="Calibri" w:cs="Calibri" w:eastAsia="Calibri" w:hAnsi="Calibri"/>
          <w:sz w:val="22"/>
          <w:szCs w:val="22"/>
        </w:rPr>
        <w:t xml:space="preserve">Point-prevalence of agitation in AD: ~45–50% (typical sell-side model input)</w:t>
      </w:r>
    </w:p>
    <w:p>
      <w:pPr>
        <w:pStyle w:val="ListParagraph"/>
        <w:numPr>
          <w:ilvl w:val="0"/>
          <w:numId w:val="2"/>
        </w:numPr>
        <w:spacing w:after="80" w:line="280"/>
        <w:jc w:val="left"/>
      </w:pPr>
      <w:r>
        <w:rPr>
          <w:rFonts w:ascii="Calibri" w:cs="Calibri" w:eastAsia="Calibri" w:hAnsi="Calibri"/>
          <w:sz w:val="22"/>
          <w:szCs w:val="22"/>
        </w:rPr>
        <w:t xml:space="preserve">Lifetime-prevalence of agitation in AD: up to 76% (ceiling, not central estimate)</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The market is larger than consensus models assume</w:t>
            </w:r>
          </w:p>
          <w:p>
            <w:pPr>
              <w:spacing w:after="140" w:line="300"/>
              <w:jc w:val="both"/>
            </w:pPr>
            <w:r>
              <w:rPr>
                <w:rFonts w:ascii="Calibri" w:cs="Calibri" w:eastAsia="Calibri" w:hAnsi="Calibri"/>
                <w:sz w:val="22"/>
                <w:szCs w:val="22"/>
              </w:rPr>
              <w:t xml:space="preserve">The ~5.23M CMS-documented diagnosed cases already exceed the ~3.25M addressable figure anchored in many sell-side models, which apply point-prevalence rates (45–50%) to the age-65+ AD-dementia population. Lifetime-prevalence (up to 76%) represents a ceiling, not a central estimate — it should not be multiplied through population figures to produce a TAM. The specific magnitude of any re-rating is debatable; the direction — upward from the ~3.25M anchor — is supported by real-world documented cases.</w:t>
            </w:r>
          </w:p>
        </w:tc>
      </w:tr>
    </w:tbl>
    <w:p>
      <w:pPr>
        <w:spacing w:after="80" w:before="180"/>
      </w:pPr>
      <w:r>
        <w:rPr>
          <w:rFonts w:ascii="Calibri" w:cs="Calibri" w:eastAsia="Calibri" w:hAnsi="Calibri"/>
          <w:b/>
          <w:bCs/>
          <w:color w:val="555555"/>
          <w:sz w:val="24"/>
          <w:szCs w:val="24"/>
        </w:rPr>
        <w:t xml:space="preserve">Competitive frame</w:t>
      </w:r>
    </w:p>
    <w:p>
      <w:pPr>
        <w:spacing w:after="140" w:line="300"/>
        <w:jc w:val="both"/>
      </w:pPr>
      <w:r>
        <w:rPr>
          <w:rFonts w:ascii="Calibri" w:cs="Calibri" w:eastAsia="Calibri" w:hAnsi="Calibri"/>
          <w:sz w:val="22"/>
          <w:szCs w:val="22"/>
        </w:rPr>
        <w:t xml:space="preserve">Rexulti (brexpiprazole), approved May 2023, is the </w:t>
      </w:r>
      <w:r>
        <w:rPr>
          <w:rFonts w:ascii="Calibri" w:cs="Calibri" w:eastAsia="Calibri" w:hAnsi="Calibri"/>
          <w:b/>
          <w:bCs/>
          <w:sz w:val="22"/>
          <w:szCs w:val="22"/>
        </w:rPr>
        <w:t xml:space="preserve">only</w:t>
      </w:r>
      <w:r>
        <w:rPr>
          <w:rFonts w:ascii="Calibri" w:cs="Calibri" w:eastAsia="Calibri" w:hAnsi="Calibri"/>
          <w:sz w:val="22"/>
          <w:szCs w:val="22"/>
        </w:rPr>
        <w:t xml:space="preserve"> FDA-approved AD-agitation treatment. Otsuka and Lundbeck are guiding toward ~$1B in peak annual sales at ~$1,400/month. Rexulti carries a Boxed Warning — elderly patients with dementia-related psychosis treated with atypical antipsychotics face increased risk of death. Pooled analyses across 17 controlled trials showed ~4.5% mortality on drug vs ~2.6% on placebo over 10 weeks. This warning is on the label because the data support it.</w:t>
      </w:r>
    </w:p>
    <w:p>
      <w:pPr>
        <w:spacing w:after="140" w:line="300"/>
        <w:jc w:val="both"/>
      </w:pPr>
      <w:r>
        <w:rPr>
          <w:rFonts w:ascii="Calibri" w:cs="Calibri" w:eastAsia="Calibri" w:hAnsi="Calibri"/>
          <w:b/>
          <w:bCs/>
          <w:sz w:val="22"/>
          <w:szCs w:val="22"/>
        </w:rPr>
        <w:t xml:space="preserve">AXS-05 is not an antipsychotic. </w:t>
      </w:r>
      <w:r>
        <w:rPr>
          <w:rFonts w:ascii="Calibri" w:cs="Calibri" w:eastAsia="Calibri" w:hAnsi="Calibri"/>
          <w:sz w:val="22"/>
          <w:szCs w:val="22"/>
        </w:rPr>
        <w:t xml:space="preserve">It is a dextromethorphan/bupropion combination — an NMDA receptor antagonist with sigma-1 agonist activity, plus aminoketone CYP2D6 inhibition. If approved, AXS-05 would be the </w:t>
      </w:r>
      <w:r>
        <w:rPr>
          <w:rFonts w:ascii="Calibri" w:cs="Calibri" w:eastAsia="Calibri" w:hAnsi="Calibri"/>
          <w:b/>
          <w:bCs/>
          <w:sz w:val="22"/>
          <w:szCs w:val="22"/>
        </w:rPr>
        <w:t xml:space="preserve">first non-antipsychotic</w:t>
      </w:r>
      <w:r>
        <w:rPr>
          <w:rFonts w:ascii="Calibri" w:cs="Calibri" w:eastAsia="Calibri" w:hAnsi="Calibri"/>
          <w:sz w:val="22"/>
          <w:szCs w:val="22"/>
        </w:rPr>
        <w:t xml:space="preserve"> for AD agitation. In a population where physicians, caregivers, and LTC administrators weigh mortality risk heavily, that is a structural competitive advantage.</w:t>
      </w:r>
    </w:p>
    <w:p>
      <w:r>
        <w:br w:type="page"/>
      </w:r>
    </w:p>
    <w:p>
      <w:pPr>
        <w:pBdr>
          <w:bottom w:val="single" w:color="1F3864" w:sz="12"/>
        </w:pBdr>
        <w:spacing w:after="180" w:before="360"/>
      </w:pPr>
      <w:r>
        <w:rPr>
          <w:rFonts w:ascii="Calibri" w:cs="Calibri" w:eastAsia="Calibri" w:hAnsi="Calibri"/>
          <w:b/>
          <w:bCs/>
          <w:color w:val="1F3864"/>
          <w:sz w:val="36"/>
          <w:szCs w:val="36"/>
        </w:rPr>
        <w:t xml:space="preserve">A.4  The Clinical Case — Reading Past the Headline</w:t>
      </w:r>
    </w:p>
    <w:p>
      <w:pPr>
        <w:spacing w:after="80" w:before="180"/>
      </w:pPr>
      <w:r>
        <w:rPr>
          <w:rFonts w:ascii="Calibri" w:cs="Calibri" w:eastAsia="Calibri" w:hAnsi="Calibri"/>
          <w:b/>
          <w:bCs/>
          <w:color w:val="555555"/>
          <w:sz w:val="24"/>
          <w:szCs w:val="24"/>
        </w:rPr>
        <w:t xml:space="preserve">The Phase 3 program at a glance</w:t>
      </w:r>
    </w:p>
    <w:p>
      <w:pPr>
        <w:pStyle w:val="ListParagraph"/>
        <w:numPr>
          <w:ilvl w:val="0"/>
          <w:numId w:val="2"/>
        </w:numPr>
        <w:spacing w:after="80" w:line="280"/>
        <w:jc w:val="left"/>
      </w:pPr>
      <w:r>
        <w:rPr>
          <w:rFonts w:ascii="Calibri" w:cs="Calibri" w:eastAsia="Calibri" w:hAnsi="Calibri"/>
          <w:sz w:val="22"/>
          <w:szCs w:val="22"/>
        </w:rPr>
        <w:t xml:space="preserve">ADVANCE-1 (Phase 2/3, RCT) — primary endpoint met; supported BTD grant in June 2020</w:t>
      </w:r>
    </w:p>
    <w:p>
      <w:pPr>
        <w:pStyle w:val="ListParagraph"/>
        <w:numPr>
          <w:ilvl w:val="0"/>
          <w:numId w:val="2"/>
        </w:numPr>
        <w:spacing w:after="80" w:line="280"/>
        <w:jc w:val="left"/>
      </w:pPr>
      <w:r>
        <w:rPr>
          <w:rFonts w:ascii="Calibri" w:cs="Calibri" w:eastAsia="Calibri" w:hAnsi="Calibri"/>
          <w:sz w:val="22"/>
          <w:szCs w:val="22"/>
        </w:rPr>
        <w:t xml:space="preserve">ADVANCE-2 (Phase 3, 5-week RCT) — primary missed; secondaries numerically favored AXS-05</w:t>
      </w:r>
    </w:p>
    <w:p>
      <w:pPr>
        <w:pStyle w:val="ListParagraph"/>
        <w:numPr>
          <w:ilvl w:val="0"/>
          <w:numId w:val="2"/>
        </w:numPr>
        <w:spacing w:after="80" w:line="280"/>
        <w:jc w:val="left"/>
      </w:pPr>
      <w:r>
        <w:rPr>
          <w:rFonts w:ascii="Calibri" w:cs="Calibri" w:eastAsia="Calibri" w:hAnsi="Calibri"/>
          <w:sz w:val="22"/>
          <w:szCs w:val="22"/>
        </w:rPr>
        <w:t xml:space="preserve">ACCORD-1 (Phase 3, relapse-prevention) — primary endpoint met</w:t>
      </w:r>
    </w:p>
    <w:p>
      <w:pPr>
        <w:pStyle w:val="ListParagraph"/>
        <w:numPr>
          <w:ilvl w:val="0"/>
          <w:numId w:val="2"/>
        </w:numPr>
        <w:spacing w:after="80" w:line="280"/>
        <w:jc w:val="left"/>
      </w:pPr>
      <w:r>
        <w:rPr>
          <w:rFonts w:ascii="Calibri" w:cs="Calibri" w:eastAsia="Calibri" w:hAnsi="Calibri"/>
          <w:sz w:val="22"/>
          <w:szCs w:val="22"/>
        </w:rPr>
        <w:t xml:space="preserve">ACCORD-2 (Phase 3, relapse-prevention) — primary endpoint met</w:t>
      </w:r>
    </w:p>
    <w:p>
      <w:pPr>
        <w:spacing w:after="120" w:before="240"/>
      </w:pPr>
      <w:r>
        <w:rPr>
          <w:rFonts w:ascii="Calibri" w:cs="Calibri" w:eastAsia="Calibri" w:hAnsi="Calibri"/>
          <w:b/>
          <w:bCs/>
          <w:color w:val="2B5797"/>
          <w:sz w:val="28"/>
          <w:szCs w:val="28"/>
        </w:rPr>
        <w:t xml:space="preserve">ADVANCE-2: the headline miss</w:t>
      </w:r>
    </w:p>
    <w:p>
      <w:pPr>
        <w:spacing w:after="140" w:line="300"/>
        <w:jc w:val="both"/>
      </w:pPr>
      <w:r>
        <w:rPr>
          <w:rFonts w:ascii="Calibri" w:cs="Calibri" w:eastAsia="Calibri" w:hAnsi="Calibri"/>
          <w:sz w:val="22"/>
          <w:szCs w:val="22"/>
        </w:rPr>
        <w:t xml:space="preserve">ADVANCE-2 evaluated AXS-05 vs placebo over 5 weeks on the CMAI primary endpoint in 408 patients, randomized 1:1:</w:t>
      </w:r>
    </w:p>
    <w:p>
      <w:pPr>
        <w:pStyle w:val="ListParagraph"/>
        <w:numPr>
          <w:ilvl w:val="0"/>
          <w:numId w:val="2"/>
        </w:numPr>
        <w:spacing w:after="80" w:line="280"/>
        <w:jc w:val="left"/>
      </w:pPr>
      <w:r>
        <w:rPr>
          <w:rFonts w:ascii="Calibri" w:cs="Calibri" w:eastAsia="Calibri" w:hAnsi="Calibri"/>
          <w:sz w:val="22"/>
          <w:szCs w:val="22"/>
        </w:rPr>
        <w:t xml:space="preserve">CMAI change: −13.8 (AXS-05) vs −12.6 (placebo) at Week 5</w:t>
      </w:r>
    </w:p>
    <w:p>
      <w:pPr>
        <w:pStyle w:val="ListParagraph"/>
        <w:numPr>
          <w:ilvl w:val="0"/>
          <w:numId w:val="2"/>
        </w:numPr>
        <w:spacing w:after="80" w:line="280"/>
        <w:jc w:val="left"/>
      </w:pPr>
      <w:r>
        <w:rPr>
          <w:rFonts w:ascii="Calibri" w:cs="Calibri" w:eastAsia="Calibri" w:hAnsi="Calibri"/>
          <w:sz w:val="22"/>
          <w:szCs w:val="22"/>
        </w:rPr>
        <w:t xml:space="preserve">P-value on primary: 0.415 — miss</w:t>
      </w:r>
    </w:p>
    <w:p>
      <w:pPr>
        <w:pStyle w:val="ListParagraph"/>
        <w:numPr>
          <w:ilvl w:val="0"/>
          <w:numId w:val="2"/>
        </w:numPr>
        <w:spacing w:after="80" w:line="280"/>
        <w:jc w:val="left"/>
      </w:pPr>
      <w:r>
        <w:rPr>
          <w:rFonts w:ascii="Calibri" w:cs="Calibri" w:eastAsia="Calibri" w:hAnsi="Calibri"/>
          <w:sz w:val="22"/>
          <w:szCs w:val="22"/>
        </w:rPr>
        <w:t xml:space="preserve">Secondary endpoints: numerically favored AXS-05 (per Axsome's Phase 3 program summary and peer-reviewed analyses)</w:t>
      </w:r>
    </w:p>
    <w:p>
      <w:pPr>
        <w:pStyle w:val="ListParagraph"/>
        <w:numPr>
          <w:ilvl w:val="0"/>
          <w:numId w:val="2"/>
        </w:numPr>
        <w:spacing w:after="80" w:line="280"/>
        <w:jc w:val="left"/>
      </w:pPr>
      <w:r>
        <w:rPr>
          <w:rFonts w:ascii="Calibri" w:cs="Calibri" w:eastAsia="Calibri" w:hAnsi="Calibri"/>
          <w:sz w:val="22"/>
          <w:szCs w:val="22"/>
        </w:rPr>
        <w:t xml:space="preserve">Safety: adverse event rates 26.0% (AXS-05) vs 21.6% (placebo); no increased mortality, sedation, or cognitive decline</w:t>
      </w:r>
    </w:p>
    <w:tbl>
      <w:tblPr>
        <w:tblW w:type="dxa" w:w="10800"/>
        <w:tblBorders>
          <w:top w:val="single" w:color="1F3864" w:sz="6"/>
          <w:left w:val="single" w:color="1F3864" w:sz="24"/>
          <w:bottom w:val="single" w:color="1F3864" w:sz="6"/>
          <w:right w:val="single" w:color="DDDDDD" w:sz="6"/>
          <w:insideH w:val="none" w:color="FFFFFF" w:sz="0"/>
          <w:insideV w:val="none" w:color="FFFFFF" w:sz="0"/>
        </w:tblBorders>
      </w:tblPr>
      <w:tblGrid>
        <w:gridCol w:w="10800"/>
      </w:tblGrid>
      <w:tr>
        <w:tc>
          <w:tcPr>
            <w:tcW w:type="dxa" w:w="10800"/>
            <w:shd w:fill="F4F6FA" w:color="auto" w:val="clear"/>
            <w:tcMar>
              <w:top w:type="dxa" w:w="150"/>
              <w:left w:type="dxa" w:w="200"/>
              <w:bottom w:type="dxa" w:w="150"/>
              <w:right w:type="dxa" w:w="150"/>
            </w:tcMar>
          </w:tcPr>
          <w:p>
            <w:pPr>
              <w:spacing w:after="80"/>
            </w:pPr>
            <w:r>
              <w:rPr>
                <w:rFonts w:ascii="Calibri" w:cs="Calibri" w:eastAsia="Calibri" w:hAnsi="Calibri"/>
                <w:b/>
                <w:bCs/>
                <w:color w:val="1F3864"/>
                <w:sz w:val="22"/>
                <w:szCs w:val="22"/>
              </w:rPr>
              <w:t xml:space="preserve">A statistical reading of ADVANCE-2</w:t>
            </w:r>
          </w:p>
          <w:p>
            <w:pPr>
              <w:spacing w:after="140" w:line="300"/>
              <w:jc w:val="both"/>
            </w:pPr>
            <w:r>
              <w:rPr>
                <w:rFonts w:ascii="Calibri" w:cs="Calibri" w:eastAsia="Calibri" w:hAnsi="Calibri"/>
                <w:sz w:val="22"/>
                <w:szCs w:val="22"/>
              </w:rPr>
              <w:t xml:space="preserve">A 1.2-point CMAI separation with P=.415 in a 5-week trial is not strong evidence of inefficacy — it is consistent with an underpowered primary against a high placebo response. This is a known and growing issue in short-duration CNS trials. The ACCORD program subsequently validated the drug's activity with a design that controls for placebo response.</w:t>
            </w:r>
          </w:p>
        </w:tc>
      </w:tr>
    </w:tbl>
    <w:p>
      <w:pPr>
        <w:spacing w:after="120" w:before="240"/>
      </w:pPr>
      <w:r>
        <w:rPr>
          <w:rFonts w:ascii="Calibri" w:cs="Calibri" w:eastAsia="Calibri" w:hAnsi="Calibri"/>
          <w:b/>
          <w:bCs/>
          <w:color w:val="2B5797"/>
          <w:sz w:val="28"/>
          <w:szCs w:val="28"/>
        </w:rPr>
        <w:t xml:space="preserve">ACCORD-1 &amp; ACCORD-2: the data that matters</w:t>
      </w:r>
    </w:p>
    <w:p>
      <w:pPr>
        <w:spacing w:after="140" w:line="300"/>
        <w:jc w:val="both"/>
      </w:pPr>
      <w:r>
        <w:rPr>
          <w:rFonts w:ascii="Calibri" w:cs="Calibri" w:eastAsia="Calibri" w:hAnsi="Calibri"/>
          <w:sz w:val="22"/>
          <w:szCs w:val="22"/>
        </w:rPr>
        <w:t xml:space="preserve">Both ACCORD trials used a </w:t>
      </w:r>
      <w:r>
        <w:rPr>
          <w:rFonts w:ascii="Calibri" w:cs="Calibri" w:eastAsia="Calibri" w:hAnsi="Calibri"/>
          <w:b/>
          <w:bCs/>
          <w:sz w:val="22"/>
          <w:szCs w:val="22"/>
        </w:rPr>
        <w:t xml:space="preserve">responder-randomization withdrawal design</w:t>
      </w:r>
      <w:r>
        <w:rPr>
          <w:rFonts w:ascii="Calibri" w:cs="Calibri" w:eastAsia="Calibri" w:hAnsi="Calibri"/>
          <w:sz w:val="22"/>
          <w:szCs w:val="22"/>
        </w:rPr>
        <w:t xml:space="preserve"> — the gold-standard for chronic CNS conditions. Patients who responded (≥30% improvement on CMAI) to 9 weeks of open-label AXS-05 were randomized to continue AXS-05 or switch to placebo. Time to relapse was the primary endpoint.</w:t>
      </w:r>
    </w:p>
    <w:p>
      <w:pPr>
        <w:spacing w:after="80" w:before="180"/>
      </w:pPr>
      <w:r>
        <w:rPr>
          <w:rFonts w:ascii="Calibri" w:cs="Calibri" w:eastAsia="Calibri" w:hAnsi="Calibri"/>
          <w:b/>
          <w:bCs/>
          <w:color w:val="555555"/>
          <w:sz w:val="24"/>
          <w:szCs w:val="24"/>
        </w:rPr>
        <w:t xml:space="preserve">ACCORD-1 (reported Nov 2022)</w:t>
      </w:r>
    </w:p>
    <w:p>
      <w:pPr>
        <w:pStyle w:val="ListParagraph"/>
        <w:numPr>
          <w:ilvl w:val="0"/>
          <w:numId w:val="2"/>
        </w:numPr>
        <w:spacing w:after="80" w:line="280"/>
        <w:jc w:val="left"/>
      </w:pPr>
      <w:r>
        <w:rPr>
          <w:rFonts w:ascii="Calibri" w:cs="Calibri" w:eastAsia="Calibri" w:hAnsi="Calibri"/>
          <w:sz w:val="22"/>
          <w:szCs w:val="22"/>
        </w:rPr>
        <w:t xml:space="preserve">HR for time to relapse: 0.275 (P=.014) — 3.6-fold lower relapse risk</w:t>
      </w:r>
    </w:p>
    <w:p>
      <w:pPr>
        <w:pStyle w:val="ListParagraph"/>
        <w:numPr>
          <w:ilvl w:val="0"/>
          <w:numId w:val="2"/>
        </w:numPr>
        <w:spacing w:after="80" w:line="280"/>
        <w:jc w:val="left"/>
      </w:pPr>
      <w:r>
        <w:rPr>
          <w:rFonts w:ascii="Calibri" w:cs="Calibri" w:eastAsia="Calibri" w:hAnsi="Calibri"/>
          <w:sz w:val="22"/>
          <w:szCs w:val="22"/>
        </w:rPr>
        <w:t xml:space="preserve">Relapse rate: 7.5% (AXS-05) vs 25.9% (placebo) (P=.018)</w:t>
      </w:r>
    </w:p>
    <w:p>
      <w:pPr>
        <w:spacing w:after="80" w:before="180"/>
      </w:pPr>
      <w:r>
        <w:rPr>
          <w:rFonts w:ascii="Calibri" w:cs="Calibri" w:eastAsia="Calibri" w:hAnsi="Calibri"/>
          <w:b/>
          <w:bCs/>
          <w:color w:val="555555"/>
          <w:sz w:val="24"/>
          <w:szCs w:val="24"/>
        </w:rPr>
        <w:t xml:space="preserve">ACCORD-2 (reported early 2025, 167 randomized patients, 26-week double-blind period)</w:t>
      </w:r>
    </w:p>
    <w:p>
      <w:pPr>
        <w:pStyle w:val="ListParagraph"/>
        <w:numPr>
          <w:ilvl w:val="0"/>
          <w:numId w:val="2"/>
        </w:numPr>
        <w:spacing w:after="80" w:line="280"/>
        <w:jc w:val="left"/>
      </w:pPr>
      <w:r>
        <w:rPr>
          <w:rFonts w:ascii="Calibri" w:cs="Calibri" w:eastAsia="Calibri" w:hAnsi="Calibri"/>
          <w:sz w:val="22"/>
          <w:szCs w:val="22"/>
        </w:rPr>
        <w:t xml:space="preserve">HR for time to relapse: 0.276 (P=.001) — 3.6-fold lower relapse risk</w:t>
      </w:r>
    </w:p>
    <w:p>
      <w:pPr>
        <w:pStyle w:val="ListParagraph"/>
        <w:numPr>
          <w:ilvl w:val="0"/>
          <w:numId w:val="2"/>
        </w:numPr>
        <w:spacing w:after="80" w:line="280"/>
        <w:jc w:val="left"/>
      </w:pPr>
      <w:r>
        <w:rPr>
          <w:rFonts w:ascii="Calibri" w:cs="Calibri" w:eastAsia="Calibri" w:hAnsi="Calibri"/>
          <w:sz w:val="22"/>
          <w:szCs w:val="22"/>
        </w:rPr>
        <w:t xml:space="preserve">Relapse rate: 8.4% (AXS-05) vs 28.6% (placebo) (P=.001)</w:t>
      </w:r>
    </w:p>
    <w:p>
      <w:pPr>
        <w:pStyle w:val="ListParagraph"/>
        <w:numPr>
          <w:ilvl w:val="0"/>
          <w:numId w:val="2"/>
        </w:numPr>
        <w:spacing w:after="80" w:line="280"/>
        <w:jc w:val="left"/>
      </w:pPr>
      <w:r>
        <w:rPr>
          <w:rFonts w:ascii="Calibri" w:cs="Calibri" w:eastAsia="Calibri" w:hAnsi="Calibri"/>
          <w:sz w:val="22"/>
          <w:szCs w:val="22"/>
        </w:rPr>
        <w:t xml:space="preserve">CGI-S for AD severity: statistically significant benefit favoring AXS-05 (P&lt;.001)</w:t>
      </w:r>
    </w:p>
    <w:p>
      <w:pPr>
        <w:pStyle w:val="ListParagraph"/>
        <w:numPr>
          <w:ilvl w:val="0"/>
          <w:numId w:val="2"/>
        </w:numPr>
        <w:spacing w:after="80" w:line="280"/>
        <w:jc w:val="left"/>
      </w:pPr>
      <w:r>
        <w:rPr>
          <w:rFonts w:ascii="Calibri" w:cs="Calibri" w:eastAsia="Calibri" w:hAnsi="Calibri"/>
          <w:sz w:val="22"/>
          <w:szCs w:val="22"/>
        </w:rPr>
        <w:t xml:space="preserve">Safety: 28.3% adverse events on AXS-05 vs 22.2% on placebo; 0% discontinuations on AXS-05 vs 1.9% on placebo</w:t>
      </w:r>
    </w:p>
    <w:p>
      <w:pPr>
        <w:spacing w:after="140" w:line="300"/>
        <w:jc w:val="both"/>
      </w:pPr>
      <w:r>
        <w:rPr>
          <w:rFonts w:ascii="Calibri" w:cs="Calibri" w:eastAsia="Calibri" w:hAnsi="Calibri"/>
          <w:sz w:val="22"/>
          <w:szCs w:val="22"/>
        </w:rPr>
        <w:t xml:space="preserve">Two things make this the data that matters. First, responder-randomization controls for the placebo-response problem that plagued ADVANCE-2. Second — and more important commercially — it demonstrates </w:t>
      </w:r>
      <w:r>
        <w:rPr>
          <w:rFonts w:ascii="Calibri" w:cs="Calibri" w:eastAsia="Calibri" w:hAnsi="Calibri"/>
          <w:b/>
          <w:bCs/>
          <w:sz w:val="22"/>
          <w:szCs w:val="22"/>
        </w:rPr>
        <w:t xml:space="preserve">maintenance of response</w:t>
      </w:r>
      <w:r>
        <w:rPr>
          <w:rFonts w:ascii="Calibri" w:cs="Calibri" w:eastAsia="Calibri" w:hAnsi="Calibri"/>
          <w:sz w:val="22"/>
          <w:szCs w:val="22"/>
        </w:rPr>
        <w:t xml:space="preserve">, the clinical question payers and CMS care about in a chronic progressive disease. A drug that helps for five weeks is interesting. A drug that keeps patients stable for six months is reimbursable.</w:t>
      </w:r>
    </w:p>
    <w:p>
      <w:pPr>
        <w:spacing w:after="120" w:before="240"/>
      </w:pPr>
      <w:r>
        <w:rPr>
          <w:rFonts w:ascii="Calibri" w:cs="Calibri" w:eastAsia="Calibri" w:hAnsi="Calibri"/>
          <w:b/>
          <w:bCs/>
          <w:color w:val="2B5797"/>
          <w:sz w:val="28"/>
          <w:szCs w:val="28"/>
        </w:rPr>
        <w:t xml:space="preserve">The regulatory implication</w:t>
      </w:r>
    </w:p>
    <w:p>
      <w:pPr>
        <w:spacing w:after="140" w:line="300"/>
        <w:jc w:val="both"/>
      </w:pPr>
      <w:r>
        <w:rPr>
          <w:rFonts w:ascii="Calibri" w:cs="Calibri" w:eastAsia="Calibri" w:hAnsi="Calibri"/>
          <w:sz w:val="22"/>
          <w:szCs w:val="22"/>
        </w:rPr>
        <w:t xml:space="preserve">The FDA granted BTD in June 2020, before ACCORD was read out. The agency's decision to grant Priority Review on the sNDA in December 2025 and to not schedule an AdCom signals confidence in the clinical package. Three-of-four primary hits, two of which are maintenance-of-response trials with HR 0.275 and 0.276, is not a marginal filing.</w:t>
      </w:r>
    </w:p>
    <w:p>
      <w:r>
        <w:br w:type="page"/>
      </w:r>
    </w:p>
    <w:p>
      <w:pPr>
        <w:pBdr>
          <w:bottom w:val="single" w:color="1F3864" w:sz="12"/>
        </w:pBdr>
        <w:spacing w:after="180" w:before="360"/>
      </w:pPr>
      <w:r>
        <w:rPr>
          <w:rFonts w:ascii="Calibri" w:cs="Calibri" w:eastAsia="Calibri" w:hAnsi="Calibri"/>
          <w:b/>
          <w:bCs/>
          <w:color w:val="1F3864"/>
          <w:sz w:val="36"/>
          <w:szCs w:val="36"/>
        </w:rPr>
        <w:t xml:space="preserve">A.5  The Commercial Case — Economics That Add Up</w:t>
      </w:r>
    </w:p>
    <w:p>
      <w:pPr>
        <w:spacing w:after="120" w:before="240"/>
      </w:pPr>
      <w:r>
        <w:rPr>
          <w:rFonts w:ascii="Calibri" w:cs="Calibri" w:eastAsia="Calibri" w:hAnsi="Calibri"/>
          <w:b/>
          <w:bCs/>
          <w:color w:val="2B5797"/>
          <w:sz w:val="28"/>
          <w:szCs w:val="28"/>
        </w:rPr>
        <w:t xml:space="preserve">Drug-pricing (direct)</w:t>
      </w:r>
    </w:p>
    <w:p>
      <w:pPr>
        <w:pStyle w:val="ListParagraph"/>
        <w:numPr>
          <w:ilvl w:val="0"/>
          <w:numId w:val="2"/>
        </w:numPr>
        <w:spacing w:after="80" w:line="280"/>
        <w:jc w:val="left"/>
      </w:pPr>
      <w:r>
        <w:rPr>
          <w:rFonts w:ascii="Calibri" w:cs="Calibri" w:eastAsia="Calibri" w:hAnsi="Calibri"/>
          <w:sz w:val="22"/>
          <w:szCs w:val="22"/>
        </w:rPr>
        <w:t xml:space="preserve">Rexulti: ~$1,400/month</w:t>
      </w:r>
    </w:p>
    <w:p>
      <w:pPr>
        <w:pStyle w:val="ListParagraph"/>
        <w:numPr>
          <w:ilvl w:val="0"/>
          <w:numId w:val="2"/>
        </w:numPr>
        <w:spacing w:after="80" w:line="280"/>
        <w:jc w:val="left"/>
      </w:pPr>
      <w:r>
        <w:rPr>
          <w:rFonts w:ascii="Calibri" w:cs="Calibri" w:eastAsia="Calibri" w:hAnsi="Calibri"/>
          <w:sz w:val="22"/>
          <w:szCs w:val="22"/>
        </w:rPr>
        <w:t xml:space="preserve">AXS-05 (Auvelity MDD pricing): similar specialty-pharmacy tier</w:t>
      </w:r>
    </w:p>
    <w:p>
      <w:pPr>
        <w:pStyle w:val="ListParagraph"/>
        <w:numPr>
          <w:ilvl w:val="0"/>
          <w:numId w:val="2"/>
        </w:numPr>
        <w:spacing w:after="80" w:line="280"/>
        <w:jc w:val="left"/>
      </w:pPr>
      <w:r>
        <w:rPr>
          <w:rFonts w:ascii="Calibri" w:cs="Calibri" w:eastAsia="Calibri" w:hAnsi="Calibri"/>
          <w:sz w:val="22"/>
          <w:szCs w:val="22"/>
        </w:rPr>
        <w:t xml:space="preserve">Peak opportunity: Rexulti guided ~$1B; AXS-05 addressable market is structurally larger</w:t>
      </w:r>
    </w:p>
    <w:p>
      <w:pPr>
        <w:spacing w:after="120" w:before="240"/>
      </w:pPr>
      <w:r>
        <w:rPr>
          <w:rFonts w:ascii="Calibri" w:cs="Calibri" w:eastAsia="Calibri" w:hAnsi="Calibri"/>
          <w:b/>
          <w:bCs/>
          <w:color w:val="2B5797"/>
          <w:sz w:val="28"/>
          <w:szCs w:val="28"/>
        </w:rPr>
        <w:t xml:space="preserve">Caregiver economics (indirect, under-priced)</w:t>
      </w:r>
    </w:p>
    <w:p>
      <w:pPr>
        <w:spacing w:after="140" w:line="300"/>
        <w:jc w:val="both"/>
      </w:pPr>
      <w:r>
        <w:rPr>
          <w:rFonts w:ascii="Calibri" w:cs="Calibri" w:eastAsia="Calibri" w:hAnsi="Calibri"/>
          <w:sz w:val="22"/>
          <w:szCs w:val="22"/>
        </w:rPr>
        <w:t xml:space="preserve">Agitation is the #1 precipitant of long-term care placement for AD patients. Nursing-home placement costs </w:t>
      </w:r>
      <w:r>
        <w:rPr>
          <w:rFonts w:ascii="Calibri" w:cs="Calibri" w:eastAsia="Calibri" w:hAnsi="Calibri"/>
          <w:b/>
          <w:bCs/>
          <w:sz w:val="22"/>
          <w:szCs w:val="22"/>
        </w:rPr>
        <w:t xml:space="preserve">$75,000–$100,000+ per patient per year</w:t>
      </w:r>
      <w:r>
        <w:rPr>
          <w:rFonts w:ascii="Calibri" w:cs="Calibri" w:eastAsia="Calibri" w:hAnsi="Calibri"/>
          <w:sz w:val="22"/>
          <w:szCs w:val="22"/>
        </w:rPr>
        <w:t xml:space="preserve">. A drug that keeps a patient at home for even 6–12 additional months generates system-level savings that dwarf drug cost.</w:t>
      </w:r>
    </w:p>
    <w:p>
      <w:pPr>
        <w:spacing w:after="140" w:line="300"/>
        <w:jc w:val="both"/>
      </w:pPr>
      <w:r>
        <w:rPr>
          <w:rFonts w:ascii="Calibri" w:cs="Calibri" w:eastAsia="Calibri" w:hAnsi="Calibri"/>
          <w:sz w:val="22"/>
          <w:szCs w:val="22"/>
        </w:rPr>
        <w:t xml:space="preserve">This reframes reimbursement. In a CMS environment shifting toward total-cost-of-care, AXS-05 is </w:t>
      </w:r>
      <w:r>
        <w:rPr>
          <w:rFonts w:ascii="Calibri" w:cs="Calibri" w:eastAsia="Calibri" w:hAnsi="Calibri"/>
          <w:b/>
          <w:bCs/>
          <w:sz w:val="22"/>
          <w:szCs w:val="22"/>
        </w:rPr>
        <w:t xml:space="preserve">not 'expensive drug'</w:t>
      </w:r>
      <w:r>
        <w:rPr>
          <w:rFonts w:ascii="Calibri" w:cs="Calibri" w:eastAsia="Calibri" w:hAnsi="Calibri"/>
          <w:sz w:val="22"/>
          <w:szCs w:val="22"/>
        </w:rPr>
        <w:t xml:space="preserve"> — it is 'prevention of a much more expensive downstream event.' The same reframing is already visible in progressive payer conversations on Auvelity's MDD label. The template transfers.</w:t>
      </w:r>
    </w:p>
    <w:p>
      <w:pPr>
        <w:spacing w:after="120" w:before="240"/>
      </w:pPr>
      <w:r>
        <w:rPr>
          <w:rFonts w:ascii="Calibri" w:cs="Calibri" w:eastAsia="Calibri" w:hAnsi="Calibri"/>
          <w:b/>
          <w:bCs/>
          <w:color w:val="2B5797"/>
          <w:sz w:val="28"/>
          <w:szCs w:val="28"/>
        </w:rPr>
        <w:t xml:space="preserve">Operational leverage</w:t>
      </w:r>
    </w:p>
    <w:p>
      <w:pPr>
        <w:pStyle w:val="ListParagraph"/>
        <w:numPr>
          <w:ilvl w:val="0"/>
          <w:numId w:val="2"/>
        </w:numPr>
        <w:spacing w:after="80" w:line="280"/>
        <w:jc w:val="left"/>
      </w:pPr>
      <w:r>
        <w:rPr>
          <w:rFonts w:ascii="Calibri" w:cs="Calibri" w:eastAsia="Calibri" w:hAnsi="Calibri"/>
          <w:sz w:val="22"/>
          <w:szCs w:val="22"/>
        </w:rPr>
        <w:t xml:space="preserve">Sales force deployed and trained on Auvelity</w:t>
      </w:r>
    </w:p>
    <w:p>
      <w:pPr>
        <w:pStyle w:val="ListParagraph"/>
        <w:numPr>
          <w:ilvl w:val="0"/>
          <w:numId w:val="2"/>
        </w:numPr>
        <w:spacing w:after="80" w:line="280"/>
        <w:jc w:val="left"/>
      </w:pPr>
      <w:r>
        <w:rPr>
          <w:rFonts w:ascii="Calibri" w:cs="Calibri" w:eastAsia="Calibri" w:hAnsi="Calibri"/>
          <w:sz w:val="22"/>
          <w:szCs w:val="22"/>
        </w:rPr>
        <w:t xml:space="preserve">Specialty pharmacy network established</w:t>
      </w:r>
    </w:p>
    <w:p>
      <w:pPr>
        <w:pStyle w:val="ListParagraph"/>
        <w:numPr>
          <w:ilvl w:val="0"/>
          <w:numId w:val="2"/>
        </w:numPr>
        <w:spacing w:after="80" w:line="280"/>
        <w:jc w:val="left"/>
      </w:pPr>
      <w:r>
        <w:rPr>
          <w:rFonts w:ascii="Calibri" w:cs="Calibri" w:eastAsia="Calibri" w:hAnsi="Calibri"/>
          <w:sz w:val="22"/>
          <w:szCs w:val="22"/>
        </w:rPr>
        <w:t xml:space="preserve">Payer contracts in place (~86% commercial coverage)</w:t>
      </w:r>
    </w:p>
    <w:p>
      <w:pPr>
        <w:pStyle w:val="ListParagraph"/>
        <w:numPr>
          <w:ilvl w:val="0"/>
          <w:numId w:val="2"/>
        </w:numPr>
        <w:spacing w:after="80" w:line="280"/>
        <w:jc w:val="left"/>
      </w:pPr>
      <w:r>
        <w:rPr>
          <w:rFonts w:ascii="Calibri" w:cs="Calibri" w:eastAsia="Calibri" w:hAnsi="Calibri"/>
          <w:sz w:val="22"/>
          <w:szCs w:val="22"/>
        </w:rPr>
        <w:t xml:space="preserve">Manufacturing validated; no new capacity required</w:t>
      </w:r>
    </w:p>
    <w:p>
      <w:pPr>
        <w:pStyle w:val="ListParagraph"/>
        <w:numPr>
          <w:ilvl w:val="0"/>
          <w:numId w:val="2"/>
        </w:numPr>
        <w:spacing w:after="80" w:line="280"/>
        <w:jc w:val="left"/>
      </w:pPr>
      <w:r>
        <w:rPr>
          <w:rFonts w:ascii="Calibri" w:cs="Calibri" w:eastAsia="Calibri" w:hAnsi="Calibri"/>
          <w:sz w:val="22"/>
          <w:szCs w:val="22"/>
        </w:rPr>
        <w:t xml:space="preserve">Physician education infrastructure operational</w:t>
      </w:r>
    </w:p>
    <w:p>
      <w:r>
        <w:br w:type="page"/>
      </w:r>
    </w:p>
    <w:p>
      <w:pPr>
        <w:pBdr>
          <w:bottom w:val="single" w:color="1F3864" w:sz="12"/>
        </w:pBdr>
        <w:spacing w:after="180" w:before="360"/>
      </w:pPr>
      <w:r>
        <w:rPr>
          <w:rFonts w:ascii="Calibri" w:cs="Calibri" w:eastAsia="Calibri" w:hAnsi="Calibri"/>
          <w:b/>
          <w:bCs/>
          <w:color w:val="1F3864"/>
          <w:sz w:val="36"/>
          <w:szCs w:val="36"/>
        </w:rPr>
        <w:t xml:space="preserve">A.6  The Quantitative Frame — 7-Dimension Score</w:t>
      </w:r>
    </w:p>
    <w:p>
      <w:pPr>
        <w:spacing w:after="140" w:line="300"/>
        <w:jc w:val="both"/>
      </w:pPr>
      <w:r>
        <w:rPr>
          <w:rFonts w:ascii="Calibri" w:cs="Calibri" w:eastAsia="Calibri" w:hAnsi="Calibri"/>
          <w:sz w:val="22"/>
          <w:szCs w:val="22"/>
        </w:rPr>
        <w:t xml:space="preserve">The investment discovery framework scores each candidate across seven weighted dimensions (Signal Strength ×2, Info Asymmetry ×1.5, others ×1). Maximum possible weighted score is 42.5. AXSM scores 30.75 / 42.5. Buy threshold is 28; high-conviction threshold is 30.</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1400"/>
        <w:gridCol w:w="68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Dimension</w:t>
            </w:r>
          </w:p>
        </w:tc>
        <w:tc>
          <w:tcPr>
            <w:tcW w:type="dxa" w:w="1400"/>
            <w:shd w:fill="1F386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w:t>
            </w:r>
          </w:p>
        </w:tc>
        <w:tc>
          <w:tcPr>
            <w:tcW w:type="dxa" w:w="68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Signal Strength (×2)</w:t>
            </w:r>
          </w:p>
        </w:tc>
        <w:tc>
          <w:tcPr>
            <w:tcW w:type="dxa" w:w="1400"/>
            <w:tcMar>
              <w:top w:type="dxa" w:w="80"/>
              <w:left w:type="dxa" w:w="120"/>
              <w:bottom w:type="dxa" w:w="80"/>
              <w:right w:type="dxa" w:w="120"/>
            </w:tcMar>
          </w:tcPr>
          <w:p>
            <w:pPr>
              <w:jc w:val="center"/>
            </w:pPr>
            <w:r>
              <w:rPr>
                <w:rFonts w:ascii="Calibri" w:cs="Calibri" w:eastAsia="Calibri" w:hAnsi="Calibri"/>
                <w:b/>
                <w:bCs/>
                <w:color w:val="2E7D32"/>
                <w:sz w:val="20"/>
                <w:szCs w:val="20"/>
              </w:rPr>
              <w:t xml:space="preserve">4.0 → 8.00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3-of-4 Phase 3 hits + BTD + Priority Review + no AdCom + commercial-prep signal</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Catalyst Clarity (×1)</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b/>
                <w:bCs/>
                <w:color w:val="2E7D32"/>
                <w:sz w:val="20"/>
                <w:szCs w:val="20"/>
              </w:rPr>
              <w:t xml:space="preserve">4.5 → 4.50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Hard PDUFA 30 April; binary outcome</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Info Asymmetry (×1.5)</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2.5 → 3.75</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Market-implied ~50% vs my ~65% — real but modest edge; ADVANCE-2 anchor</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Risk / Reward (×1)</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sz w:val="20"/>
                <w:szCs w:val="20"/>
              </w:rPr>
              <w:t xml:space="preserve">3.5 → 3.50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Upside +24–35%, downside −24–35% (MDD franchise floors limit tail)</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Edge Decay (×1)</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3.0 → 3.00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~14 trading days — edge compresses into PDUFA</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Liquidity (×1)</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sz w:val="20"/>
                <w:szCs w:val="20"/>
              </w:rPr>
              <w:t xml:space="preserve">4.0 → 4.00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~$9B mkt cap; 500K–1M ADV; deep options chain</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Catalyst Timeline (×1)</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4.0 → 4.00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Known hard date; within 2–3 weeks</w:t>
            </w:r>
          </w:p>
        </w:tc>
      </w:tr>
      <w:tr>
        <w:tc>
          <w:tcPr>
            <w:tcW w:type="dxa" w:w="2600"/>
            <w:tcMar>
              <w:top w:type="dxa" w:w="80"/>
              <w:left w:type="dxa" w:w="120"/>
              <w:bottom w:type="dxa" w:w="80"/>
              <w:right w:type="dxa" w:w="120"/>
            </w:tcMar>
          </w:tcPr>
          <w:p>
            <w:pPr>
              <w:jc w:val="left"/>
            </w:pPr>
            <w:r>
              <w:rPr>
                <w:rFonts w:ascii="Calibri" w:cs="Calibri" w:eastAsia="Calibri" w:hAnsi="Calibri"/>
                <w:b/>
                <w:bCs/>
                <w:sz w:val="20"/>
                <w:szCs w:val="20"/>
              </w:rPr>
              <w:t xml:space="preserve">WEIGHTED TOTAL</w:t>
            </w:r>
          </w:p>
        </w:tc>
        <w:tc>
          <w:tcPr>
            <w:tcW w:type="dxa" w:w="1400"/>
            <w:tcMar>
              <w:top w:type="dxa" w:w="80"/>
              <w:left w:type="dxa" w:w="120"/>
              <w:bottom w:type="dxa" w:w="80"/>
              <w:right w:type="dxa" w:w="120"/>
            </w:tcMar>
          </w:tcPr>
          <w:p>
            <w:pPr>
              <w:jc w:val="center"/>
            </w:pPr>
            <w:r>
              <w:rPr>
                <w:rFonts w:ascii="Calibri" w:cs="Calibri" w:eastAsia="Calibri" w:hAnsi="Calibri"/>
                <w:b/>
                <w:bCs/>
                <w:color w:val="2E7D32"/>
                <w:sz w:val="20"/>
                <w:szCs w:val="20"/>
              </w:rPr>
              <w:t xml:space="preserve">30.75 / 42.5</w:t>
            </w:r>
          </w:p>
        </w:tc>
        <w:tc>
          <w:tcPr>
            <w:tcW w:type="dxa" w:w="6800"/>
            <w:tcMar>
              <w:top w:type="dxa" w:w="80"/>
              <w:left w:type="dxa" w:w="120"/>
              <w:bottom w:type="dxa" w:w="80"/>
              <w:right w:type="dxa" w:w="120"/>
            </w:tcMar>
          </w:tcPr>
          <w:p>
            <w:pPr>
              <w:jc w:val="left"/>
            </w:pPr>
            <w:r>
              <w:rPr>
                <w:rFonts w:ascii="Calibri" w:cs="Calibri" w:eastAsia="Calibri" w:hAnsi="Calibri"/>
                <w:b/>
                <w:bCs/>
                <w:color w:val="2E7D32"/>
                <w:sz w:val="20"/>
                <w:szCs w:val="20"/>
              </w:rPr>
              <w:t xml:space="preserve">Buy — high conviction (threshold 28; high-conviction 30)</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A.7  Market Interpretation vs. Mine</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4100"/>
        <w:gridCol w:w="41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Question</w:t>
            </w:r>
          </w:p>
        </w:tc>
        <w:tc>
          <w:tcPr>
            <w:tcW w:type="dxa" w:w="41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Market's interpretation</w:t>
            </w:r>
          </w:p>
        </w:tc>
        <w:tc>
          <w:tcPr>
            <w:tcW w:type="dxa" w:w="41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This thesis</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ADVANCE-2 CMAI miss</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Drug didn't work</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5-wk trial w/ high placebo response; 3 of 4 Phase 3 trials hit primary</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FDA posture</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Uncertain</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BTD + Priority Review + no AdCom = strong signal</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Market size</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~3.25M addressable</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Anchor too low: ~5.23M already documented (CMS 2023)</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Competitive moat</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already approved</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carries Boxed Warning; AXS-05 is first non-antipsychotic</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Launch risk</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Execution uncertainty</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Label expansion on existing Auvelity footprint</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Valuation</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Priced for uncertainty ($178)</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~20–27% below consensus PT $213–$226</w:t>
            </w:r>
          </w:p>
        </w:tc>
      </w:tr>
    </w:tbl>
    <w:p>
      <w:pPr>
        <w:spacing w:after="120" w:before="240"/>
      </w:pPr>
      <w:r>
        <w:rPr>
          <w:rFonts w:ascii="Calibri" w:cs="Calibri" w:eastAsia="Calibri" w:hAnsi="Calibri"/>
          <w:b/>
          <w:bCs/>
          <w:color w:val="2B5797"/>
          <w:sz w:val="28"/>
          <w:szCs w:val="28"/>
        </w:rPr>
        <w:t xml:space="preserve">The narrative arbitrage</w:t>
      </w:r>
    </w:p>
    <w:p>
      <w:pPr>
        <w:spacing w:after="140" w:line="300"/>
        <w:jc w:val="both"/>
      </w:pPr>
      <w:r>
        <w:rPr>
          <w:rFonts w:ascii="Calibri" w:cs="Calibri" w:eastAsia="Calibri" w:hAnsi="Calibri"/>
          <w:sz w:val="22"/>
          <w:szCs w:val="22"/>
        </w:rPr>
        <w:t xml:space="preserve">The gap between </w:t>
      </w:r>
      <w:r>
        <w:rPr>
          <w:rFonts w:ascii="Calibri" w:cs="Calibri" w:eastAsia="Calibri" w:hAnsi="Calibri"/>
          <w:b/>
          <w:bCs/>
          <w:sz w:val="22"/>
          <w:szCs w:val="22"/>
        </w:rPr>
        <w:t xml:space="preserve">$178 current</w:t>
      </w:r>
      <w:r>
        <w:rPr>
          <w:rFonts w:ascii="Calibri" w:cs="Calibri" w:eastAsia="Calibri" w:hAnsi="Calibri"/>
          <w:sz w:val="22"/>
          <w:szCs w:val="22"/>
        </w:rPr>
        <w:t xml:space="preserve"> and </w:t>
      </w:r>
      <w:r>
        <w:rPr>
          <w:rFonts w:ascii="Calibri" w:cs="Calibri" w:eastAsia="Calibri" w:hAnsi="Calibri"/>
          <w:b/>
          <w:bCs/>
          <w:sz w:val="22"/>
          <w:szCs w:val="22"/>
        </w:rPr>
        <w:t xml:space="preserve">$213–$226 consensus</w:t>
      </w:r>
      <w:r>
        <w:rPr>
          <w:rFonts w:ascii="Calibri" w:cs="Calibri" w:eastAsia="Calibri" w:hAnsi="Calibri"/>
          <w:sz w:val="22"/>
          <w:szCs w:val="22"/>
        </w:rPr>
        <w:t xml:space="preserve"> is not a fundamentals gap. It is a </w:t>
      </w:r>
      <w:r>
        <w:rPr>
          <w:rFonts w:ascii="Calibri" w:cs="Calibri" w:eastAsia="Calibri" w:hAnsi="Calibri"/>
          <w:b/>
          <w:bCs/>
          <w:sz w:val="22"/>
          <w:szCs w:val="22"/>
        </w:rPr>
        <w:t xml:space="preserve">narrative gap</w:t>
      </w:r>
      <w:r>
        <w:rPr>
          <w:rFonts w:ascii="Calibri" w:cs="Calibri" w:eastAsia="Calibri" w:hAnsi="Calibri"/>
          <w:sz w:val="22"/>
          <w:szCs w:val="22"/>
        </w:rPr>
        <w:t xml:space="preserve">. ADVANCE-2 was framed as failure in 2024; the frame hardened. Positive ACCORD-2 readouts in early 2025 corrected the scientific record but did not fully correct the stock. The PDUFA forces narrative into decision.</w:t>
      </w:r>
    </w:p>
    <w:p>
      <w:r>
        <w:br w:type="page"/>
      </w:r>
    </w:p>
    <w:p>
      <w:pPr>
        <w:pBdr>
          <w:bottom w:val="single" w:color="1F3864" w:sz="12"/>
        </w:pBdr>
        <w:spacing w:after="180" w:before="360"/>
      </w:pPr>
      <w:r>
        <w:rPr>
          <w:rFonts w:ascii="Calibri" w:cs="Calibri" w:eastAsia="Calibri" w:hAnsi="Calibri"/>
          <w:b/>
          <w:bCs/>
          <w:color w:val="1F3864"/>
          <w:sz w:val="36"/>
          <w:szCs w:val="36"/>
        </w:rPr>
        <w:t xml:space="preserve">A.8  Risks — What Would Break the Thesis</w:t>
      </w:r>
    </w:p>
    <w:tbl>
      <w:tblPr>
        <w:tblW w:type="dxa" w:w="10800"/>
        <w:tblBorders>
          <w:top w:val="single" w:color="B71C1C" w:sz="6"/>
          <w:left w:val="single" w:color="B71C1C" w:sz="24"/>
          <w:bottom w:val="single" w:color="B71C1C" w:sz="6"/>
          <w:right w:val="single" w:color="DDDDDD" w:sz="6"/>
          <w:insideH w:val="none" w:color="FFFFFF" w:sz="0"/>
          <w:insideV w:val="none" w:color="FFFFFF" w:sz="0"/>
        </w:tblBorders>
      </w:tblPr>
      <w:tblGrid>
        <w:gridCol w:w="10800"/>
      </w:tblGrid>
      <w:tr>
        <w:tc>
          <w:tcPr>
            <w:tcW w:type="dxa" w:w="10800"/>
            <w:shd w:fill="FDECEA" w:color="auto" w:val="clear"/>
            <w:tcMar>
              <w:top w:type="dxa" w:w="150"/>
              <w:left w:type="dxa" w:w="200"/>
              <w:bottom w:type="dxa" w:w="150"/>
              <w:right w:type="dxa" w:w="150"/>
            </w:tcMar>
          </w:tcPr>
          <w:p>
            <w:pPr>
              <w:spacing w:after="80"/>
            </w:pPr>
            <w:r>
              <w:rPr>
                <w:rFonts w:ascii="Calibri" w:cs="Calibri" w:eastAsia="Calibri" w:hAnsi="Calibri"/>
                <w:b/>
                <w:bCs/>
                <w:color w:val="B71C1C"/>
                <w:sz w:val="22"/>
                <w:szCs w:val="22"/>
              </w:rPr>
              <w:t xml:space="preserve">Kill condition 1 — Complete Response Letter (CRL)</w:t>
            </w:r>
          </w:p>
          <w:p>
            <w:pPr>
              <w:spacing w:after="140" w:line="300"/>
              <w:jc w:val="both"/>
            </w:pPr>
            <w:r>
              <w:rPr>
                <w:rFonts w:ascii="Calibri" w:cs="Calibri" w:eastAsia="Calibri" w:hAnsi="Calibri"/>
                <w:sz w:val="22"/>
                <w:szCs w:val="22"/>
              </w:rPr>
              <w:t xml:space="preserve">An FDA refusal at the PDUFA date. Historically ~15–20% of filings with BTD + Priority Review receive a CRL. Stock would likely drop to $115–$135 (−25–35%). This is the single largest tail risk.</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2 — Narrow label</w:t>
            </w:r>
          </w:p>
          <w:p>
            <w:pPr>
              <w:spacing w:after="140" w:line="300"/>
              <w:jc w:val="both"/>
            </w:pPr>
            <w:r>
              <w:rPr>
                <w:rFonts w:ascii="Calibri" w:cs="Calibri" w:eastAsia="Calibri" w:hAnsi="Calibri"/>
                <w:sz w:val="22"/>
                <w:szCs w:val="22"/>
              </w:rPr>
              <w:t xml:space="preserve">FDA approves but restricts the label (e.g., severe agitation only, or requires prior Rexulti failure). Commercial case shrinks 40–60%. Stock holds $150–$170 — approval but disappointing.</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3 — Post-approval safety signal</w:t>
            </w:r>
          </w:p>
          <w:p>
            <w:pPr>
              <w:spacing w:after="140" w:line="300"/>
              <w:jc w:val="both"/>
            </w:pPr>
            <w:r>
              <w:rPr>
                <w:rFonts w:ascii="Calibri" w:cs="Calibri" w:eastAsia="Calibri" w:hAnsi="Calibri"/>
                <w:sz w:val="22"/>
                <w:szCs w:val="22"/>
              </w:rPr>
              <w:t xml:space="preserve">A Boxed Warning (e.g., seizure risk from the bupropion component) would materially compress the advantage over Rexulti. Low probability (&lt;10%) given the ACCORD safety profile — but non-zero.</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4 — Launch execution failure</w:t>
            </w:r>
          </w:p>
          <w:p>
            <w:pPr>
              <w:spacing w:after="140" w:line="300"/>
              <w:jc w:val="both"/>
            </w:pPr>
            <w:r>
              <w:rPr>
                <w:rFonts w:ascii="Calibri" w:cs="Calibri" w:eastAsia="Calibri" w:hAnsi="Calibri"/>
                <w:sz w:val="22"/>
                <w:szCs w:val="22"/>
              </w:rPr>
              <w:t xml:space="preserve">AD-agitation prescribers differ from MDD prescribers (geriatricians, LTC pharmacies). Slow uptake caps the re-rating. Mitigated by 86% payer coverage and a known molecule, but not eliminated.</w:t>
            </w:r>
          </w:p>
        </w:tc>
      </w:tr>
    </w:tbl>
    <w:p>
      <w:pPr>
        <w:spacing w:after="120" w:before="240"/>
      </w:pPr>
      <w:r>
        <w:rPr>
          <w:rFonts w:ascii="Calibri" w:cs="Calibri" w:eastAsia="Calibri" w:hAnsi="Calibri"/>
          <w:b/>
          <w:bCs/>
          <w:color w:val="2B5797"/>
          <w:sz w:val="28"/>
          <w:szCs w:val="28"/>
        </w:rPr>
        <w:t xml:space="preserve">What would change my mind</w:t>
      </w:r>
    </w:p>
    <w:p>
      <w:pPr>
        <w:pStyle w:val="ListParagraph"/>
        <w:numPr>
          <w:ilvl w:val="0"/>
          <w:numId w:val="2"/>
        </w:numPr>
        <w:spacing w:after="80" w:line="280"/>
        <w:jc w:val="left"/>
      </w:pPr>
      <w:r>
        <w:rPr>
          <w:rFonts w:ascii="Calibri" w:cs="Calibri" w:eastAsia="Calibri" w:hAnsi="Calibri"/>
          <w:sz w:val="22"/>
          <w:szCs w:val="22"/>
        </w:rPr>
        <w:t xml:space="preserve">FDA posts a new AdCom schedule in the next two weeks (would signal unresolved concerns)</w:t>
      </w:r>
    </w:p>
    <w:p>
      <w:pPr>
        <w:pStyle w:val="ListParagraph"/>
        <w:numPr>
          <w:ilvl w:val="0"/>
          <w:numId w:val="2"/>
        </w:numPr>
        <w:spacing w:after="80" w:line="280"/>
        <w:jc w:val="left"/>
      </w:pPr>
      <w:r>
        <w:rPr>
          <w:rFonts w:ascii="Calibri" w:cs="Calibri" w:eastAsia="Calibri" w:hAnsi="Calibri"/>
          <w:sz w:val="22"/>
          <w:szCs w:val="22"/>
        </w:rPr>
        <w:t xml:space="preserve">Late-breaking safety disclosure from the long-term safety trial</w:t>
      </w:r>
    </w:p>
    <w:p>
      <w:pPr>
        <w:pStyle w:val="ListParagraph"/>
        <w:numPr>
          <w:ilvl w:val="0"/>
          <w:numId w:val="2"/>
        </w:numPr>
        <w:spacing w:after="80" w:line="280"/>
        <w:jc w:val="left"/>
      </w:pPr>
      <w:r>
        <w:rPr>
          <w:rFonts w:ascii="Calibri" w:cs="Calibri" w:eastAsia="Calibri" w:hAnsi="Calibri"/>
          <w:sz w:val="22"/>
          <w:szCs w:val="22"/>
        </w:rPr>
        <w:t xml:space="preserve">Competitor data (new Rexulti post-hoc, or late-stage competitor) that changes the commercial math</w:t>
      </w:r>
    </w:p>
    <w:p>
      <w:pPr>
        <w:pStyle w:val="ListParagraph"/>
        <w:numPr>
          <w:ilvl w:val="0"/>
          <w:numId w:val="2"/>
        </w:numPr>
        <w:spacing w:after="80" w:line="280"/>
        <w:jc w:val="left"/>
      </w:pPr>
      <w:r>
        <w:rPr>
          <w:rFonts w:ascii="Calibri" w:cs="Calibri" w:eastAsia="Calibri" w:hAnsi="Calibri"/>
          <w:sz w:val="22"/>
          <w:szCs w:val="22"/>
        </w:rPr>
        <w:t xml:space="preserve">Material shift in CMS coverage guidance for behavioral AD drugs</w:t>
      </w:r>
    </w:p>
    <w:p>
      <w:r>
        <w:br w:type="page"/>
      </w:r>
    </w:p>
    <w:p>
      <w:pPr>
        <w:pBdr>
          <w:bottom w:val="single" w:color="1F3864" w:sz="12"/>
        </w:pBdr>
        <w:spacing w:after="180" w:before="360"/>
      </w:pPr>
      <w:r>
        <w:rPr>
          <w:rFonts w:ascii="Calibri" w:cs="Calibri" w:eastAsia="Calibri" w:hAnsi="Calibri"/>
          <w:b/>
          <w:bCs/>
          <w:color w:val="1F3864"/>
          <w:sz w:val="36"/>
          <w:szCs w:val="36"/>
        </w:rPr>
        <w:t xml:space="preserve">A.9  Positioning</w:t>
      </w:r>
    </w:p>
    <w:p>
      <w:pPr>
        <w:spacing w:after="120" w:before="240"/>
      </w:pPr>
      <w:r>
        <w:rPr>
          <w:rFonts w:ascii="Calibri" w:cs="Calibri" w:eastAsia="Calibri" w:hAnsi="Calibri"/>
          <w:b/>
          <w:bCs/>
          <w:color w:val="2B5797"/>
          <w:sz w:val="28"/>
          <w:szCs w:val="28"/>
        </w:rPr>
        <w:t xml:space="preserve">The core trade</w:t>
      </w:r>
    </w:p>
    <w:p>
      <w:pPr>
        <w:spacing w:after="140" w:line="300"/>
        <w:jc w:val="both"/>
      </w:pPr>
      <w:r>
        <w:rPr>
          <w:rFonts w:ascii="Calibri" w:cs="Calibri" w:eastAsia="Calibri" w:hAnsi="Calibri"/>
          <w:sz w:val="22"/>
          <w:szCs w:val="22"/>
        </w:rPr>
        <w:t xml:space="preserve">Long AXSM equity into the PDUFA, sized to tolerate a −25% to −35% bear-case drawdown. Entry before IV fully inflates (ideally before T-10). Exit at PDUFA or within 48 hours post-event on approval; cut immediately on CRL.</w:t>
      </w:r>
    </w:p>
    <w:p>
      <w:pPr>
        <w:spacing w:after="120" w:before="240"/>
      </w:pPr>
      <w:r>
        <w:rPr>
          <w:rFonts w:ascii="Calibri" w:cs="Calibri" w:eastAsia="Calibri" w:hAnsi="Calibri"/>
          <w:b/>
          <w:bCs/>
          <w:color w:val="2B5797"/>
          <w:sz w:val="28"/>
          <w:szCs w:val="28"/>
        </w:rPr>
        <w:t xml:space="preserve">The hedged trade</w:t>
      </w:r>
    </w:p>
    <w:p>
      <w:pPr>
        <w:spacing w:after="140" w:line="300"/>
        <w:jc w:val="both"/>
      </w:pPr>
      <w:r>
        <w:rPr>
          <w:rFonts w:ascii="Calibri" w:cs="Calibri" w:eastAsia="Calibri" w:hAnsi="Calibri"/>
          <w:sz w:val="22"/>
          <w:szCs w:val="22"/>
        </w:rPr>
        <w:t xml:space="preserve">Long stock + long out-of-the-money (OTM) puts (strike $135–$140, 1–2 weeks past PDUFA) as insurance. Hedge cost under 1/3 of the expected approval payoff. Caps downside, retains upside.</w:t>
      </w:r>
    </w:p>
    <w:p>
      <w:pPr>
        <w:spacing w:after="120" w:before="240"/>
      </w:pPr>
      <w:r>
        <w:rPr>
          <w:rFonts w:ascii="Calibri" w:cs="Calibri" w:eastAsia="Calibri" w:hAnsi="Calibri"/>
          <w:b/>
          <w:bCs/>
          <w:color w:val="2B5797"/>
          <w:sz w:val="28"/>
          <w:szCs w:val="28"/>
        </w:rPr>
        <w:t xml:space="preserve">The options-only trade</w:t>
      </w:r>
    </w:p>
    <w:p>
      <w:pPr>
        <w:spacing w:after="140" w:line="300"/>
        <w:jc w:val="both"/>
      </w:pPr>
      <w:r>
        <w:rPr>
          <w:rFonts w:ascii="Calibri" w:cs="Calibri" w:eastAsia="Calibri" w:hAnsi="Calibri"/>
          <w:sz w:val="22"/>
          <w:szCs w:val="22"/>
        </w:rPr>
        <w:t xml:space="preserve">Call spread (e.g., $200/$240) expiring late April / early May. Captures the re-rating without stock exposure. Higher leverage; higher total-loss risk on a CRL.</w:t>
      </w:r>
    </w:p>
    <w:p>
      <w:pPr>
        <w:spacing w:after="120" w:before="240"/>
      </w:pPr>
      <w:r>
        <w:rPr>
          <w:rFonts w:ascii="Calibri" w:cs="Calibri" w:eastAsia="Calibri" w:hAnsi="Calibri"/>
          <w:b/>
          <w:bCs/>
          <w:color w:val="2B5797"/>
          <w:sz w:val="28"/>
          <w:szCs w:val="28"/>
        </w:rPr>
        <w:t xml:space="preserve">What to avoid</w:t>
      </w:r>
    </w:p>
    <w:p>
      <w:pPr>
        <w:pStyle w:val="ListParagraph"/>
        <w:numPr>
          <w:ilvl w:val="0"/>
          <w:numId w:val="2"/>
        </w:numPr>
        <w:spacing w:after="80" w:line="280"/>
        <w:jc w:val="left"/>
      </w:pPr>
      <w:r>
        <w:rPr>
          <w:rFonts w:ascii="Calibri" w:cs="Calibri" w:eastAsia="Calibri" w:hAnsi="Calibri"/>
          <w:sz w:val="22"/>
          <w:szCs w:val="22"/>
        </w:rPr>
        <w:t xml:space="preserve">Naked short puts — tail risk is too fat</w:t>
      </w:r>
    </w:p>
    <w:p>
      <w:pPr>
        <w:pStyle w:val="ListParagraph"/>
        <w:numPr>
          <w:ilvl w:val="0"/>
          <w:numId w:val="2"/>
        </w:numPr>
        <w:spacing w:after="80" w:line="280"/>
        <w:jc w:val="left"/>
      </w:pPr>
      <w:r>
        <w:rPr>
          <w:rFonts w:ascii="Calibri" w:cs="Calibri" w:eastAsia="Calibri" w:hAnsi="Calibri"/>
          <w:sz w:val="22"/>
          <w:szCs w:val="22"/>
        </w:rPr>
        <w:t xml:space="preserve">Straddles — IV already elevated; this is directional, not volatility-neutral</w:t>
      </w:r>
    </w:p>
    <w:p>
      <w:pPr>
        <w:pStyle w:val="ListParagraph"/>
        <w:numPr>
          <w:ilvl w:val="0"/>
          <w:numId w:val="2"/>
        </w:numPr>
        <w:spacing w:after="80" w:line="280"/>
        <w:jc w:val="left"/>
      </w:pPr>
      <w:r>
        <w:rPr>
          <w:rFonts w:ascii="Calibri" w:cs="Calibri" w:eastAsia="Calibri" w:hAnsi="Calibri"/>
          <w:sz w:val="22"/>
          <w:szCs w:val="22"/>
        </w:rPr>
        <w:t xml:space="preserve">Over-sizing — respect the bear-case drawdown</w:t>
      </w:r>
    </w:p>
    <w:p>
      <w:pPr>
        <w:spacing w:after="120" w:before="240"/>
      </w:pPr>
      <w:r>
        <w:rPr>
          <w:rFonts w:ascii="Calibri" w:cs="Calibri" w:eastAsia="Calibri" w:hAnsi="Calibri"/>
          <w:b/>
          <w:bCs/>
          <w:color w:val="2B5797"/>
          <w:sz w:val="28"/>
          <w:szCs w:val="28"/>
        </w:rPr>
        <w:t xml:space="preserve">Sizing framework</w:t>
      </w:r>
    </w:p>
    <w:p>
      <w:pPr>
        <w:pStyle w:val="ListParagraph"/>
        <w:numPr>
          <w:ilvl w:val="0"/>
          <w:numId w:val="2"/>
        </w:numPr>
        <w:spacing w:after="80" w:line="280"/>
        <w:jc w:val="left"/>
      </w:pPr>
      <w:r>
        <w:rPr>
          <w:rFonts w:ascii="Calibri" w:cs="Calibri" w:eastAsia="Calibri" w:hAnsi="Calibri"/>
          <w:sz w:val="22"/>
          <w:szCs w:val="22"/>
        </w:rPr>
        <w:t xml:space="preserve">Max loss tolerance: −30% of the allocated position</w:t>
      </w:r>
    </w:p>
    <w:p>
      <w:pPr>
        <w:pStyle w:val="ListParagraph"/>
        <w:numPr>
          <w:ilvl w:val="0"/>
          <w:numId w:val="2"/>
        </w:numPr>
        <w:spacing w:after="80" w:line="280"/>
        <w:jc w:val="left"/>
      </w:pPr>
      <w:r>
        <w:rPr>
          <w:rFonts w:ascii="Calibri" w:cs="Calibri" w:eastAsia="Calibri" w:hAnsi="Calibri"/>
          <w:sz w:val="22"/>
          <w:szCs w:val="22"/>
        </w:rPr>
        <w:t xml:space="preserve">Suggested allocation: 3–5% of risk capital for equity; 0.5–1.5% for options variants</w:t>
      </w:r>
    </w:p>
    <w:p>
      <w:pPr>
        <w:pStyle w:val="ListParagraph"/>
        <w:numPr>
          <w:ilvl w:val="0"/>
          <w:numId w:val="2"/>
        </w:numPr>
        <w:spacing w:after="80" w:line="280"/>
        <w:jc w:val="left"/>
      </w:pPr>
      <w:r>
        <w:rPr>
          <w:rFonts w:ascii="Calibri" w:cs="Calibri" w:eastAsia="Calibri" w:hAnsi="Calibri"/>
          <w:sz w:val="22"/>
          <w:szCs w:val="22"/>
        </w:rPr>
        <w:t xml:space="preserve">Pre-commit exit rules — no adjustment on news sentiment</w:t>
      </w:r>
    </w:p>
    <w:p>
      <w:r>
        <w:br w:type="page"/>
      </w:r>
    </w:p>
    <w:p>
      <w:pPr>
        <w:pBdr>
          <w:bottom w:val="single" w:color="1F3864" w:sz="12"/>
        </w:pBdr>
        <w:spacing w:after="180" w:before="360"/>
      </w:pPr>
      <w:r>
        <w:rPr>
          <w:rFonts w:ascii="Calibri" w:cs="Calibri" w:eastAsia="Calibri" w:hAnsi="Calibri"/>
          <w:b/>
          <w:bCs/>
          <w:color w:val="1F3864"/>
          <w:sz w:val="36"/>
          <w:szCs w:val="36"/>
        </w:rPr>
        <w:t xml:space="preserve">A.10  Catalyst Calendar</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3600"/>
        <w:gridCol w:w="46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Date</w:t>
            </w:r>
          </w:p>
        </w:tc>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Event</w:t>
            </w:r>
          </w:p>
        </w:tc>
        <w:tc>
          <w:tcPr>
            <w:tcW w:type="dxa" w:w="4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to watch</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13 Apr 2026 (today)</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Thesis established</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Entry window open</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14–22 Apr</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IV inflation period</w:t>
            </w:r>
          </w:p>
        </w:tc>
        <w:tc>
          <w:tcPr>
            <w:tcW w:type="dxa" w:w="4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Monitor options chain; build core</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23–29 Apr</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Final pre-PDUFA window</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Any FDA disclosure = immediate re-evaluation</w:t>
            </w:r>
          </w:p>
        </w:tc>
      </w:tr>
      <w:tr>
        <w:tc>
          <w:tcPr>
            <w:tcW w:type="dxa" w:w="2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30 Apr 2026</w:t>
            </w:r>
          </w:p>
        </w:tc>
        <w:tc>
          <w:tcPr>
            <w:tcW w:type="dxa" w:w="3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PDUFA DECISION</w:t>
            </w:r>
          </w:p>
        </w:tc>
        <w:tc>
          <w:tcPr>
            <w:tcW w:type="dxa" w:w="4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Binary event — execute exit plan</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1–7 May</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Post-event re-rate</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Confirm label scope; analyst PT revisions</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Q3 2026</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First prescription data</w:t>
            </w:r>
          </w:p>
        </w:tc>
        <w:tc>
          <w:tcPr>
            <w:tcW w:type="dxa" w:w="4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Uptake signal; long-term thesis decision</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A.11  Verdict</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Buy — high conviction</w:t>
            </w:r>
          </w:p>
          <w:p>
            <w:pPr>
              <w:spacing w:after="140" w:line="300"/>
              <w:jc w:val="both"/>
            </w:pPr>
            <w:r>
              <w:rPr>
                <w:rFonts w:ascii="Calibri" w:cs="Calibri" w:eastAsia="Calibri" w:hAnsi="Calibri"/>
                <w:b/>
                <w:bCs/>
                <w:sz w:val="22"/>
                <w:szCs w:val="22"/>
              </w:rPr>
              <w:t xml:space="preserve">Score: </w:t>
            </w:r>
            <w:r>
              <w:rPr>
                <w:rFonts w:ascii="Calibri" w:cs="Calibri" w:eastAsia="Calibri" w:hAnsi="Calibri"/>
                <w:sz w:val="22"/>
                <w:szCs w:val="22"/>
              </w:rPr>
              <w:t xml:space="preserve">30.75 / 42.5 (Buy threshold 28; high-conviction 30)</w:t>
            </w:r>
          </w:p>
          <w:p>
            <w:pPr>
              <w:spacing w:after="140" w:line="300"/>
              <w:jc w:val="both"/>
            </w:pPr>
            <w:r>
              <w:rPr>
                <w:rFonts w:ascii="Calibri" w:cs="Calibri" w:eastAsia="Calibri" w:hAnsi="Calibri"/>
                <w:b/>
                <w:bCs/>
                <w:sz w:val="22"/>
                <w:szCs w:val="22"/>
              </w:rPr>
              <w:t xml:space="preserve">Thesis: </w:t>
            </w:r>
            <w:r>
              <w:rPr>
                <w:rFonts w:ascii="Calibri" w:cs="Calibri" w:eastAsia="Calibri" w:hAnsi="Calibri"/>
                <w:sz w:val="22"/>
                <w:szCs w:val="22"/>
              </w:rPr>
              <w:t xml:space="preserve">AXSM is a binary PDUFA trade on a regulatorily-blessed sNDA, with a commercial base already deployed, a safety profile that structurally outflanks the only approved competitor, and a market still anchored on one ambiguous 2024 headline. The 17-day window to 30 April is the forcing function. The ~25–35% consensus-to-market valuation gap is the arbitrage.</w:t>
            </w:r>
          </w:p>
        </w:tc>
      </w:tr>
    </w:tbl>
    <w:p>
      <w:pPr>
        <w:spacing w:after="120" w:before="240"/>
      </w:pPr>
      <w:r>
        <w:rPr>
          <w:rFonts w:ascii="Calibri" w:cs="Calibri" w:eastAsia="Calibri" w:hAnsi="Calibri"/>
          <w:b/>
          <w:bCs/>
          <w:color w:val="2B5797"/>
          <w:sz w:val="28"/>
          <w:szCs w:val="28"/>
        </w:rPr>
        <w:t xml:space="preserve">What this thesis does NOT claim</w:t>
      </w:r>
    </w:p>
    <w:p>
      <w:pPr>
        <w:pStyle w:val="ListParagraph"/>
        <w:numPr>
          <w:ilvl w:val="0"/>
          <w:numId w:val="2"/>
        </w:numPr>
        <w:spacing w:after="80" w:line="280"/>
        <w:jc w:val="left"/>
      </w:pPr>
      <w:r>
        <w:rPr>
          <w:rFonts w:ascii="Calibri" w:cs="Calibri" w:eastAsia="Calibri" w:hAnsi="Calibri"/>
          <w:sz w:val="22"/>
          <w:szCs w:val="22"/>
        </w:rPr>
        <w:t xml:space="preserve">That approval is certain — it is not. The ~15–20% CRL base rate stands.</w:t>
      </w:r>
    </w:p>
    <w:p>
      <w:pPr>
        <w:pStyle w:val="ListParagraph"/>
        <w:numPr>
          <w:ilvl w:val="0"/>
          <w:numId w:val="2"/>
        </w:numPr>
        <w:spacing w:after="80" w:line="280"/>
        <w:jc w:val="left"/>
      </w:pPr>
      <w:r>
        <w:rPr>
          <w:rFonts w:ascii="Calibri" w:cs="Calibri" w:eastAsia="Calibri" w:hAnsi="Calibri"/>
          <w:sz w:val="22"/>
          <w:szCs w:val="22"/>
        </w:rPr>
        <w:t xml:space="preserve">That the stock will re-rate cleanly — label scope matters and remains unknown.</w:t>
      </w:r>
    </w:p>
    <w:p>
      <w:pPr>
        <w:pStyle w:val="ListParagraph"/>
        <w:numPr>
          <w:ilvl w:val="0"/>
          <w:numId w:val="2"/>
        </w:numPr>
        <w:spacing w:after="80" w:line="280"/>
        <w:jc w:val="left"/>
      </w:pPr>
      <w:r>
        <w:rPr>
          <w:rFonts w:ascii="Calibri" w:cs="Calibri" w:eastAsia="Calibri" w:hAnsi="Calibri"/>
          <w:sz w:val="22"/>
          <w:szCs w:val="22"/>
        </w:rPr>
        <w:t xml:space="preserve">That the 7-dimension score is a probability — it is a scoring of signal strength, not a prediction.</w:t>
      </w:r>
    </w:p>
    <w:p>
      <w:pPr>
        <w:spacing w:after="120" w:before="240"/>
      </w:pPr>
      <w:r>
        <w:rPr>
          <w:rFonts w:ascii="Calibri" w:cs="Calibri" w:eastAsia="Calibri" w:hAnsi="Calibri"/>
          <w:b/>
          <w:bCs/>
          <w:color w:val="2B5797"/>
          <w:sz w:val="28"/>
          <w:szCs w:val="28"/>
        </w:rPr>
        <w:t xml:space="preserve">What this thesis DOES claim</w:t>
      </w:r>
    </w:p>
    <w:p>
      <w:pPr>
        <w:pStyle w:val="ListParagraph"/>
        <w:numPr>
          <w:ilvl w:val="0"/>
          <w:numId w:val="2"/>
        </w:numPr>
        <w:spacing w:after="80" w:line="280"/>
        <w:jc w:val="left"/>
      </w:pPr>
      <w:r>
        <w:rPr>
          <w:rFonts w:ascii="Calibri" w:cs="Calibri" w:eastAsia="Calibri" w:hAnsi="Calibri"/>
          <w:sz w:val="22"/>
          <w:szCs w:val="22"/>
        </w:rPr>
        <w:t xml:space="preserve">The regulatory signal stack (BTD + Priority Review + no AdCom) is historically associated with high approval rates.</w:t>
      </w:r>
    </w:p>
    <w:p>
      <w:pPr>
        <w:pStyle w:val="ListParagraph"/>
        <w:numPr>
          <w:ilvl w:val="0"/>
          <w:numId w:val="2"/>
        </w:numPr>
        <w:spacing w:after="80" w:line="280"/>
        <w:jc w:val="left"/>
      </w:pPr>
      <w:r>
        <w:rPr>
          <w:rFonts w:ascii="Calibri" w:cs="Calibri" w:eastAsia="Calibri" w:hAnsi="Calibri"/>
          <w:sz w:val="22"/>
          <w:szCs w:val="22"/>
        </w:rPr>
        <w:t xml:space="preserve">The clinical story, read in full, is stronger than the market is pricing.</w:t>
      </w:r>
    </w:p>
    <w:p>
      <w:pPr>
        <w:pStyle w:val="ListParagraph"/>
        <w:numPr>
          <w:ilvl w:val="0"/>
          <w:numId w:val="2"/>
        </w:numPr>
        <w:spacing w:after="80" w:line="280"/>
        <w:jc w:val="left"/>
      </w:pPr>
      <w:r>
        <w:rPr>
          <w:rFonts w:ascii="Calibri" w:cs="Calibri" w:eastAsia="Calibri" w:hAnsi="Calibri"/>
          <w:sz w:val="22"/>
          <w:szCs w:val="22"/>
        </w:rPr>
        <w:t xml:space="preserve">The commercial story benefits from a unique Boxed-Warning arbitrage vs. Rexulti.</w:t>
      </w:r>
    </w:p>
    <w:p>
      <w:pPr>
        <w:pStyle w:val="ListParagraph"/>
        <w:numPr>
          <w:ilvl w:val="0"/>
          <w:numId w:val="2"/>
        </w:numPr>
        <w:spacing w:after="80" w:line="280"/>
        <w:jc w:val="left"/>
      </w:pPr>
      <w:r>
        <w:rPr>
          <w:rFonts w:ascii="Calibri" w:cs="Calibri" w:eastAsia="Calibri" w:hAnsi="Calibri"/>
          <w:sz w:val="22"/>
          <w:szCs w:val="22"/>
        </w:rPr>
        <w:t xml:space="preserve">The market size is materially understated using stale prevalence figures.</w:t>
      </w:r>
    </w:p>
    <w:p>
      <w:pPr>
        <w:pStyle w:val="ListParagraph"/>
        <w:numPr>
          <w:ilvl w:val="0"/>
          <w:numId w:val="2"/>
        </w:numPr>
        <w:spacing w:after="80" w:line="280"/>
        <w:jc w:val="left"/>
      </w:pPr>
      <w:r>
        <w:rPr>
          <w:rFonts w:ascii="Calibri" w:cs="Calibri" w:eastAsia="Calibri" w:hAnsi="Calibri"/>
          <w:sz w:val="22"/>
          <w:szCs w:val="22"/>
        </w:rPr>
        <w:t xml:space="preserve">The 17-day window is a genuine information asymmetry closing fast.</w:t>
      </w:r>
    </w:p>
    <w:p>
      <w:r>
        <w:br w:type="page"/>
      </w:r>
    </w:p>
    <w:p>
      <w:pPr>
        <w:pBdr>
          <w:bottom w:val="single" w:color="1F3864" w:sz="12"/>
        </w:pBdr>
        <w:spacing w:after="180" w:before="360"/>
      </w:pPr>
      <w:r>
        <w:rPr>
          <w:rFonts w:ascii="Calibri" w:cs="Calibri" w:eastAsia="Calibri" w:hAnsi="Calibri"/>
          <w:b/>
          <w:bCs/>
          <w:color w:val="1F3864"/>
          <w:sz w:val="36"/>
          <w:szCs w:val="36"/>
        </w:rPr>
        <w:t xml:space="preserve">A.12  Sources &amp; Verification</w:t>
      </w:r>
    </w:p>
    <w:p>
      <w:pPr>
        <w:spacing w:after="140" w:line="300"/>
        <w:jc w:val="both"/>
      </w:pPr>
      <w:r>
        <w:rPr>
          <w:rFonts w:ascii="Calibri" w:cs="Calibri" w:eastAsia="Calibri" w:hAnsi="Calibri"/>
          <w:sz w:val="22"/>
          <w:szCs w:val="22"/>
        </w:rPr>
        <w:t xml:space="preserve">Every factual claim was re-validated against primary or reputable secondary sources on 13 April 2026.</w:t>
      </w:r>
    </w:p>
    <w:p>
      <w:pPr>
        <w:spacing w:after="80" w:before="180"/>
      </w:pPr>
      <w:r>
        <w:rPr>
          <w:rFonts w:ascii="Calibri" w:cs="Calibri" w:eastAsia="Calibri" w:hAnsi="Calibri"/>
          <w:b/>
          <w:bCs/>
          <w:color w:val="555555"/>
          <w:sz w:val="24"/>
          <w:szCs w:val="24"/>
        </w:rPr>
        <w:t xml:space="preserve">Clinical</w:t>
      </w:r>
    </w:p>
    <w:p>
      <w:pPr>
        <w:pStyle w:val="ListParagraph"/>
        <w:numPr>
          <w:ilvl w:val="0"/>
          <w:numId w:val="2"/>
        </w:numPr>
        <w:spacing w:after="80" w:line="280"/>
        <w:jc w:val="left"/>
      </w:pPr>
      <w:hyperlink w:history="1" r:id="rIdt_fwefw4el07pwqiyqn-2">
        <w:r>
          <w:rPr>
            <w:rFonts w:ascii="Calibri" w:cs="Calibri" w:eastAsia="Calibri" w:hAnsi="Calibri"/>
            <w:color w:val="0563C1"/>
            <w:sz w:val="22"/>
            <w:szCs w:val="22"/>
            <w:u w:val="single"/>
          </w:rPr>
          <w:t xml:space="preserve">Axsome — Successful Completion and Results of Phase 3 Clinical Program of AXS-05 (Dec 30, 2024)</w:t>
        </w:r>
      </w:hyperlink>
    </w:p>
    <w:p>
      <w:pPr>
        <w:pStyle w:val="ListParagraph"/>
        <w:numPr>
          <w:ilvl w:val="0"/>
          <w:numId w:val="2"/>
        </w:numPr>
        <w:spacing w:after="80" w:line="280"/>
        <w:jc w:val="left"/>
      </w:pPr>
      <w:hyperlink w:history="1" r:id="rIdkcy0zu9008t_qgektfgsk">
        <w:r>
          <w:rPr>
            <w:rFonts w:ascii="Calibri" w:cs="Calibri" w:eastAsia="Calibri" w:hAnsi="Calibri"/>
            <w:color w:val="0563C1"/>
            <w:sz w:val="22"/>
            <w:szCs w:val="22"/>
            <w:u w:val="single"/>
          </w:rPr>
          <w:t xml:space="preserve">ACCORD Phase 3 trial (Neurology peer-review)</w:t>
        </w:r>
      </w:hyperlink>
    </w:p>
    <w:p>
      <w:pPr>
        <w:pStyle w:val="ListParagraph"/>
        <w:numPr>
          <w:ilvl w:val="0"/>
          <w:numId w:val="2"/>
        </w:numPr>
        <w:spacing w:after="80" w:line="280"/>
        <w:jc w:val="left"/>
      </w:pPr>
      <w:hyperlink w:history="1" r:id="rIdlx5qfazf85tpaki5--o0w">
        <w:r>
          <w:rPr>
            <w:rFonts w:ascii="Calibri" w:cs="Calibri" w:eastAsia="Calibri" w:hAnsi="Calibri"/>
            <w:color w:val="0563C1"/>
            <w:sz w:val="22"/>
            <w:szCs w:val="22"/>
            <w:u w:val="single"/>
          </w:rPr>
          <w:t xml:space="preserve">ACCORD-2 readout: AXS-05 delays relapse time (Healio)</w:t>
        </w:r>
      </w:hyperlink>
    </w:p>
    <w:p>
      <w:pPr>
        <w:pStyle w:val="ListParagraph"/>
        <w:numPr>
          <w:ilvl w:val="0"/>
          <w:numId w:val="2"/>
        </w:numPr>
        <w:spacing w:after="80" w:line="280"/>
        <w:jc w:val="left"/>
      </w:pPr>
      <w:hyperlink w:history="1" r:id="rIdhzyezqobyzxw_xd1vfoza">
        <w:r>
          <w:rPr>
            <w:rFonts w:ascii="Calibri" w:cs="Calibri" w:eastAsia="Calibri" w:hAnsi="Calibri"/>
            <w:color w:val="0563C1"/>
            <w:sz w:val="22"/>
            <w:szCs w:val="22"/>
            <w:u w:val="single"/>
          </w:rPr>
          <w:t xml:space="preserve">NeurologyLive — AXS-05 Submission Following Positive Phase 3 Trials</w:t>
        </w:r>
      </w:hyperlink>
    </w:p>
    <w:p>
      <w:pPr>
        <w:spacing w:after="80" w:before="180"/>
      </w:pPr>
      <w:r>
        <w:rPr>
          <w:rFonts w:ascii="Calibri" w:cs="Calibri" w:eastAsia="Calibri" w:hAnsi="Calibri"/>
          <w:b/>
          <w:bCs/>
          <w:color w:val="555555"/>
          <w:sz w:val="24"/>
          <w:szCs w:val="24"/>
        </w:rPr>
        <w:t xml:space="preserve">Regulatory</w:t>
      </w:r>
    </w:p>
    <w:p>
      <w:pPr>
        <w:pStyle w:val="ListParagraph"/>
        <w:numPr>
          <w:ilvl w:val="0"/>
          <w:numId w:val="2"/>
        </w:numPr>
        <w:spacing w:after="80" w:line="280"/>
        <w:jc w:val="left"/>
      </w:pPr>
      <w:hyperlink w:history="1" r:id="rIdr1fdgwuj5-628-ke0n3mb">
        <w:r>
          <w:rPr>
            <w:rFonts w:ascii="Calibri" w:cs="Calibri" w:eastAsia="Calibri" w:hAnsi="Calibri"/>
            <w:color w:val="0563C1"/>
            <w:sz w:val="22"/>
            <w:szCs w:val="22"/>
            <w:u w:val="single"/>
          </w:rPr>
          <w:t xml:space="preserve">Axsome — FDA Priority Review for sNDA (Dec 31, 2025)</w:t>
        </w:r>
      </w:hyperlink>
    </w:p>
    <w:p>
      <w:pPr>
        <w:pStyle w:val="ListParagraph"/>
        <w:numPr>
          <w:ilvl w:val="0"/>
          <w:numId w:val="2"/>
        </w:numPr>
        <w:spacing w:after="80" w:line="280"/>
        <w:jc w:val="left"/>
      </w:pPr>
      <w:hyperlink w:history="1" r:id="rIdbzsigbs1b6mocrpfdf8__">
        <w:r>
          <w:rPr>
            <w:rFonts w:ascii="Calibri" w:cs="Calibri" w:eastAsia="Calibri" w:hAnsi="Calibri"/>
            <w:color w:val="0563C1"/>
            <w:sz w:val="22"/>
            <w:szCs w:val="22"/>
            <w:u w:val="single"/>
          </w:rPr>
          <w:t xml:space="preserve">AXS-05 Breakthrough Therapy Designation (Axsome pipeline page)</w:t>
        </w:r>
      </w:hyperlink>
    </w:p>
    <w:p>
      <w:pPr>
        <w:spacing w:after="80" w:before="180"/>
      </w:pPr>
      <w:r>
        <w:rPr>
          <w:rFonts w:ascii="Calibri" w:cs="Calibri" w:eastAsia="Calibri" w:hAnsi="Calibri"/>
          <w:b/>
          <w:bCs/>
          <w:color w:val="555555"/>
          <w:sz w:val="24"/>
          <w:szCs w:val="24"/>
        </w:rPr>
        <w:t xml:space="preserve">Epidemiology</w:t>
      </w:r>
    </w:p>
    <w:p>
      <w:pPr>
        <w:pStyle w:val="ListParagraph"/>
        <w:numPr>
          <w:ilvl w:val="0"/>
          <w:numId w:val="2"/>
        </w:numPr>
        <w:spacing w:after="80" w:line="280"/>
        <w:jc w:val="left"/>
      </w:pPr>
      <w:hyperlink w:history="1" r:id="rId_4czjqscsmlhgymavb1t9">
        <w:r>
          <w:rPr>
            <w:rFonts w:ascii="Calibri" w:cs="Calibri" w:eastAsia="Calibri" w:hAnsi="Calibri"/>
            <w:color w:val="0563C1"/>
            <w:sz w:val="22"/>
            <w:szCs w:val="22"/>
            <w:u w:val="single"/>
          </w:rPr>
          <w:t xml:space="preserve">2025 Alzheimer's Disease Facts and Figures</w:t>
        </w:r>
      </w:hyperlink>
    </w:p>
    <w:p>
      <w:pPr>
        <w:pStyle w:val="ListParagraph"/>
        <w:numPr>
          <w:ilvl w:val="0"/>
          <w:numId w:val="2"/>
        </w:numPr>
        <w:spacing w:after="80" w:line="280"/>
        <w:jc w:val="left"/>
      </w:pPr>
      <w:hyperlink w:history="1" r:id="rIdjebpgdth19u7lzpjfirfd">
        <w:r>
          <w:rPr>
            <w:rFonts w:ascii="Calibri" w:cs="Calibri" w:eastAsia="Calibri" w:hAnsi="Calibri"/>
            <w:color w:val="0563C1"/>
            <w:sz w:val="22"/>
            <w:szCs w:val="22"/>
            <w:u w:val="single"/>
          </w:rPr>
          <w:t xml:space="preserve">Agitation in dementia: systematic review (epidemiology, 76% prevalence reference)</w:t>
        </w:r>
      </w:hyperlink>
    </w:p>
    <w:p>
      <w:pPr>
        <w:spacing w:after="80" w:before="180"/>
      </w:pPr>
      <w:r>
        <w:rPr>
          <w:rFonts w:ascii="Calibri" w:cs="Calibri" w:eastAsia="Calibri" w:hAnsi="Calibri"/>
          <w:b/>
          <w:bCs/>
          <w:color w:val="555555"/>
          <w:sz w:val="24"/>
          <w:szCs w:val="24"/>
        </w:rPr>
        <w:t xml:space="preserve">Competitive</w:t>
      </w:r>
    </w:p>
    <w:p>
      <w:pPr>
        <w:pStyle w:val="ListParagraph"/>
        <w:numPr>
          <w:ilvl w:val="0"/>
          <w:numId w:val="2"/>
        </w:numPr>
        <w:spacing w:after="80" w:line="280"/>
        <w:jc w:val="left"/>
      </w:pPr>
      <w:hyperlink w:history="1" r:id="rIdlpy5devnk5x1kfms4qojl">
        <w:r>
          <w:rPr>
            <w:rFonts w:ascii="Calibri" w:cs="Calibri" w:eastAsia="Calibri" w:hAnsi="Calibri"/>
            <w:color w:val="0563C1"/>
            <w:sz w:val="22"/>
            <w:szCs w:val="22"/>
            <w:u w:val="single"/>
          </w:rPr>
          <w:t xml:space="preserve">FDA approval of Rexulti for AD agitation (May 2023)</w:t>
        </w:r>
      </w:hyperlink>
    </w:p>
    <w:p>
      <w:pPr>
        <w:pStyle w:val="ListParagraph"/>
        <w:numPr>
          <w:ilvl w:val="0"/>
          <w:numId w:val="2"/>
        </w:numPr>
        <w:spacing w:after="80" w:line="280"/>
        <w:jc w:val="left"/>
      </w:pPr>
      <w:hyperlink w:history="1" r:id="rId9us5st8qilnulq5ng83dx">
        <w:r>
          <w:rPr>
            <w:rFonts w:ascii="Calibri" w:cs="Calibri" w:eastAsia="Calibri" w:hAnsi="Calibri"/>
            <w:color w:val="0563C1"/>
            <w:sz w:val="22"/>
            <w:szCs w:val="22"/>
            <w:u w:val="single"/>
          </w:rPr>
          <w:t xml:space="preserve">Rexulti label including Boxed Warning (FDA accessdata)</w:t>
        </w:r>
      </w:hyperlink>
    </w:p>
    <w:p>
      <w:pPr>
        <w:pStyle w:val="ListParagraph"/>
        <w:numPr>
          <w:ilvl w:val="0"/>
          <w:numId w:val="2"/>
        </w:numPr>
        <w:spacing w:after="80" w:line="280"/>
        <w:jc w:val="left"/>
      </w:pPr>
      <w:hyperlink w:history="1" r:id="rIduknd7ox4-iylihuowdumw">
        <w:r>
          <w:rPr>
            <w:rFonts w:ascii="Calibri" w:cs="Calibri" w:eastAsia="Calibri" w:hAnsi="Calibri"/>
            <w:color w:val="0563C1"/>
            <w:sz w:val="22"/>
            <w:szCs w:val="22"/>
            <w:u w:val="single"/>
          </w:rPr>
          <w:t xml:space="preserve">BMJ — FDA fast-tracks first antipsychotic for dementia agitation (mortality data)</w:t>
        </w:r>
      </w:hyperlink>
    </w:p>
    <w:p>
      <w:pPr>
        <w:spacing w:after="80" w:before="180"/>
      </w:pPr>
      <w:r>
        <w:rPr>
          <w:rFonts w:ascii="Calibri" w:cs="Calibri" w:eastAsia="Calibri" w:hAnsi="Calibri"/>
          <w:b/>
          <w:bCs/>
          <w:color w:val="555555"/>
          <w:sz w:val="24"/>
          <w:szCs w:val="24"/>
        </w:rPr>
        <w:t xml:space="preserve">Market &amp; financial</w:t>
      </w:r>
    </w:p>
    <w:p>
      <w:pPr>
        <w:pStyle w:val="ListParagraph"/>
        <w:numPr>
          <w:ilvl w:val="0"/>
          <w:numId w:val="2"/>
        </w:numPr>
        <w:spacing w:after="80" w:line="280"/>
        <w:jc w:val="left"/>
      </w:pPr>
      <w:hyperlink w:history="1" r:id="rIdvae-jc2tbfoshhg47tqme">
        <w:r>
          <w:rPr>
            <w:rFonts w:ascii="Calibri" w:cs="Calibri" w:eastAsia="Calibri" w:hAnsi="Calibri"/>
            <w:color w:val="0563C1"/>
            <w:sz w:val="22"/>
            <w:szCs w:val="22"/>
            <w:u w:val="single"/>
          </w:rPr>
          <w:t xml:space="preserve">Axsome — Preliminary Q4 &amp; FY2025 Net Product Revenue (Jan 12, 2026)</w:t>
        </w:r>
      </w:hyperlink>
    </w:p>
    <w:p>
      <w:pPr>
        <w:pStyle w:val="ListParagraph"/>
        <w:numPr>
          <w:ilvl w:val="0"/>
          <w:numId w:val="2"/>
        </w:numPr>
        <w:spacing w:after="80" w:line="280"/>
        <w:jc w:val="left"/>
      </w:pPr>
      <w:hyperlink w:history="1" r:id="rIdpijiksurhgrtfhuwpp0jx">
        <w:r>
          <w:rPr>
            <w:rFonts w:ascii="Calibri" w:cs="Calibri" w:eastAsia="Calibri" w:hAnsi="Calibri"/>
            <w:color w:val="0563C1"/>
            <w:sz w:val="22"/>
            <w:szCs w:val="22"/>
            <w:u w:val="single"/>
          </w:rPr>
          <w:t xml:space="preserve">Axsome — Q4 &amp; FY2025 Financial Results (Feb 23, 2026)</w:t>
        </w:r>
      </w:hyperlink>
    </w:p>
    <w:p>
      <w:pPr>
        <w:pStyle w:val="ListParagraph"/>
        <w:numPr>
          <w:ilvl w:val="0"/>
          <w:numId w:val="2"/>
        </w:numPr>
        <w:spacing w:after="80" w:line="280"/>
        <w:jc w:val="left"/>
      </w:pPr>
      <w:hyperlink w:history="1" r:id="rIdibu5oa-vsmszaol9bpk6j">
        <w:r>
          <w:rPr>
            <w:rFonts w:ascii="Calibri" w:cs="Calibri" w:eastAsia="Calibri" w:hAnsi="Calibri"/>
            <w:color w:val="0563C1"/>
            <w:sz w:val="22"/>
            <w:szCs w:val="22"/>
            <w:u w:val="single"/>
          </w:rPr>
          <w:t xml:space="preserve">AXSM analyst consensus (Public.com, Apr 2026 snapshot)</w:t>
        </w:r>
      </w:hyperlink>
    </w:p>
    <w:p>
      <w:pPr>
        <w:pStyle w:val="ListParagraph"/>
        <w:numPr>
          <w:ilvl w:val="0"/>
          <w:numId w:val="2"/>
        </w:numPr>
        <w:spacing w:after="80" w:line="280"/>
        <w:jc w:val="left"/>
      </w:pPr>
      <w:hyperlink w:history="1" r:id="rIdwdnqrsw_pzcjbnelt8rrr">
        <w:r>
          <w:rPr>
            <w:rFonts w:ascii="Calibri" w:cs="Calibri" w:eastAsia="Calibri" w:hAnsi="Calibri"/>
            <w:color w:val="0563C1"/>
            <w:sz w:val="22"/>
            <w:szCs w:val="22"/>
            <w:u w:val="single"/>
          </w:rPr>
          <w:t xml:space="preserve">AXSM analyst forecasts (StockAnalysis)</w:t>
        </w:r>
      </w:hyperlink>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AXSM · Investment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_fwefw4el07pwqiyqn-2" Type="http://schemas.openxmlformats.org/officeDocument/2006/relationships/hyperlink" Target="https://www.globenewswire.com/news-release/2024/12/30/3002588/33090/en/Axsome-Therapeutics-Announces-Successful-Completion-and-Results-of-Phase-3-Clinical-Program-of-AXS-05-in-Alzheimer-s-Disease-Agitation.html" TargetMode="External"/><Relationship Id="rIdkcy0zu9008t_qgektfgsk" Type="http://schemas.openxmlformats.org/officeDocument/2006/relationships/hyperlink" Target="https://www.neurology.org/doi/10.1212/WNL-.0000000000205634" TargetMode="External"/><Relationship Id="rIdlx5qfazf85tpaki5--o0w" Type="http://schemas.openxmlformats.org/officeDocument/2006/relationships/hyperlink" Target="https://www.healio.com/news/neurology/20250408/accord2-axs05-delays-relapse-time-to-alzheimers-disease-agitation" TargetMode="External"/><Relationship Id="rIdhzyezqobyzxw_xd1vfoza" Type="http://schemas.openxmlformats.org/officeDocument/2006/relationships/hyperlink" Target="https://www.neurologylive.com/view/axsome-submit-nda-axs-05-alzheimer-agitation-following-positive-phase-3-trials" TargetMode="External"/><Relationship Id="rIdr1fdgwuj5-628-ke0n3mb" Type="http://schemas.openxmlformats.org/officeDocument/2006/relationships/hyperlink" Target="https://www.globenewswire.com/news-release/2025/12/31/3211743/33090/en/Axsome-Therapeutics-Announces-FDA-Acceptance-and-Priority-Review-of-Supplemental-New-Drug-Application-for-AXS-05-for-the-Treatment-of-Alzheimer-s-Disease-Agitation.html" TargetMode="External"/><Relationship Id="rIdbzsigbs1b6mocrpfdf8__" Type="http://schemas.openxmlformats.org/officeDocument/2006/relationships/hyperlink" Target="https://www.axsome.com/axs-portfolio/pipeline/about-axs-05/" TargetMode="External"/><Relationship Id="rId_4czjqscsmlhgymavb1t9" Type="http://schemas.openxmlformats.org/officeDocument/2006/relationships/hyperlink" Target="https://pmc.ncbi.nlm.nih.gov/articles/PMC12040760/" TargetMode="External"/><Relationship Id="rIdjebpgdth19u7lzpjfirfd" Type="http://schemas.openxmlformats.org/officeDocument/2006/relationships/hyperlink" Target="https://pubmed.ncbi.nlm.nih.gov/30855002/" TargetMode="External"/><Relationship Id="rIdlpy5devnk5x1kfms4qojl" Type="http://schemas.openxmlformats.org/officeDocument/2006/relationships/hyperlink" Target="https://www.fda.gov/news-events/press-announcements/fda-approves-first-drug-treat-agitation-symptoms-associated-dementia-due-alzheimers-disease" TargetMode="External"/><Relationship Id="rId9us5st8qilnulq5ng83dx" Type="http://schemas.openxmlformats.org/officeDocument/2006/relationships/hyperlink" Target="https://www.accessdata.fda.gov/drugsatfda_docs/label/2023/205422s009lbl.pdf" TargetMode="External"/><Relationship Id="rIduknd7ox4-iylihuowdumw" Type="http://schemas.openxmlformats.org/officeDocument/2006/relationships/hyperlink" Target="https://bmjgroup.com/alarm-as-fda-fast-tracks-first-antipsychotic-for-dementia-agitation/" TargetMode="External"/><Relationship Id="rIdvae-jc2tbfoshhg47tqme" Type="http://schemas.openxmlformats.org/officeDocument/2006/relationships/hyperlink" Target="https://www.globenewswire.com/news-release/2026/01/12/3216700/33090/en/Axsome-Therapeutics-Provides-Preliminary-Fourth-Quarter-and-Full-Year-2025-Net-Product-Revenue.html" TargetMode="External"/><Relationship Id="rIdpijiksurhgrtfhuwpp0jx" Type="http://schemas.openxmlformats.org/officeDocument/2006/relationships/hyperlink" Target="https://www.globenewswire.com/news-release/2026/02/23/3242481/33090/en/Axsome-Therapeutics-Reports-Fourth-Quarter-and-Full-Year-2025-Financial-Results-and-Provides-Business-Update.html" TargetMode="External"/><Relationship Id="rIdibu5oa-vsmszaol9bpk6j" Type="http://schemas.openxmlformats.org/officeDocument/2006/relationships/hyperlink" Target="https://public.com/stocks/axsm/forecast-price-target" TargetMode="External"/><Relationship Id="rIdwdnqrsw_pzcjbnelt8rrr" Type="http://schemas.openxmlformats.org/officeDocument/2006/relationships/hyperlink" Target="https://stockanalysis.com/stocks/axsm/forecast/"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AXSM Investment Thesis</dc:title>
  <dc:creator>Un-named</dc:creator>
  <cp:lastModifiedBy>Un-named</cp:lastModifiedBy>
  <cp:revision>1</cp:revision>
  <dcterms:created xsi:type="dcterms:W3CDTF">2026-04-14T09:11:21.639Z</dcterms:created>
  <dcterms:modified xsi:type="dcterms:W3CDTF">2026-04-14T09:11:21.640Z</dcterms:modified>
</cp:coreProperties>
</file>

<file path=docProps/custom.xml><?xml version="1.0" encoding="utf-8"?>
<Properties xmlns="http://schemas.openxmlformats.org/officeDocument/2006/custom-properties" xmlns:vt="http://schemas.openxmlformats.org/officeDocument/2006/docPropsVTypes"/>
</file>