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pPr>
      <w:r>
        <w:rPr>
          <w:rFonts w:ascii="Calibri" w:hAnsi="Calibri"/>
          <w:b/>
          <w:sz w:val="22"/>
        </w:rPr>
        <w:t>INVESTMENT THESIS</w:t>
      </w:r>
    </w:p>
    <w:p>
      <w:pPr>
        <w:spacing w:line="276" w:lineRule="auto"/>
      </w:pPr>
      <w:r>
        <w:rPr>
          <w:rFonts w:ascii="Calibri" w:hAnsi="Calibri"/>
          <w:b/>
          <w:sz w:val="56"/>
        </w:rPr>
        <w:t>Vera Therapeutics, Inc. (VERA)</w:t>
      </w:r>
    </w:p>
    <w:p>
      <w:pPr>
        <w:spacing w:line="276" w:lineRule="auto"/>
        <w:jc w:val="left"/>
      </w:pPr>
      <w:r>
        <w:rPr>
          <w:rFonts w:ascii="Calibri" w:hAnsi="Calibri"/>
          <w:b w:val="0"/>
          <w:i w:val="0"/>
          <w:sz w:val="30"/>
        </w:rPr>
        <w:t>Atacicept in IgA Nephropathy (IgAN)</w:t>
      </w:r>
    </w:p>
    <w:p>
      <w:pPr>
        <w:spacing w:line="276" w:lineRule="auto"/>
      </w:pPr>
      <w:r>
        <w:rPr>
          <w:rFonts w:ascii="Calibri" w:hAnsi="Calibri"/>
          <w:b/>
          <w:sz w:val="24"/>
        </w:rPr>
        <w:t>PDUFA: 7 July 2026  ·  84 days to decision</w:t>
      </w:r>
    </w:p>
    <w:p>
      <w:pPr>
        <w:spacing w:line="276" w:lineRule="auto"/>
        <w:jc w:val="left"/>
      </w:pPr>
      <w:r>
        <w:rPr>
          <w:rFonts w:ascii="Calibri" w:hAnsi="Calibri"/>
          <w:b w:val="0"/>
          <w:i w:val="0"/>
          <w:sz w:val="20"/>
        </w:rPr>
        <w:t>14 April 2026</w:t>
      </w:r>
    </w:p>
    <w:p>
      <w:pPr>
        <w:spacing w:line="276" w:lineRule="auto"/>
      </w:pPr>
    </w:p>
    <w:p>
      <w:pPr>
        <w:spacing w:before="240" w:after="80" w:line="276" w:lineRule="auto"/>
      </w:pPr>
      <w:r>
        <w:rPr>
          <w:rFonts w:ascii="Calibri" w:hAnsi="Calibri"/>
          <w:b/>
          <w:sz w:val="36"/>
        </w:rPr>
        <w:t>Glossary of Key Terms</w:t>
      </w:r>
    </w:p>
    <w:p>
      <w:pPr>
        <w:spacing w:line="276" w:lineRule="auto"/>
        <w:jc w:val="both"/>
      </w:pPr>
      <w:r>
        <w:rPr>
          <w:rFonts w:ascii="Calibri" w:hAnsi="Calibri"/>
          <w:b w:val="0"/>
          <w:i w:val="0"/>
          <w:sz w:val="22"/>
        </w:rPr>
        <w:t>Acronyms used throughout this note, defined up front so the summary reads cleanly.</w:t>
      </w:r>
    </w:p>
    <w:tbl>
      <w:tblPr>
        <w:tblStyle w:val="TableGrid"/>
        <w:tblW w:type="auto" w:w="0"/>
        <w:tblLook w:firstColumn="1" w:firstRow="1" w:lastColumn="0" w:lastRow="0" w:noHBand="0" w:noVBand="1" w:val="04A0"/>
      </w:tblPr>
      <w:tblGrid>
        <w:gridCol w:w="4680"/>
        <w:gridCol w:w="4680"/>
      </w:tblGrid>
      <w:tr>
        <w:tc>
          <w:tcPr>
            <w:tcW w:type="dxa" w:w="2016"/>
            <w:shd w:val="clear" w:color="auto" w:fill="D9D9D9"/>
          </w:tcPr>
          <w:p>
            <w:r/>
            <w:r>
              <w:rPr>
                <w:rFonts w:ascii="Calibri" w:hAnsi="Calibri"/>
                <w:b/>
                <w:sz w:val="20"/>
              </w:rPr>
              <w:t>Term</w:t>
            </w:r>
          </w:p>
        </w:tc>
        <w:tc>
          <w:tcPr>
            <w:tcW w:type="dxa" w:w="7344"/>
            <w:shd w:val="clear" w:color="auto" w:fill="D9D9D9"/>
          </w:tcPr>
          <w:p>
            <w:r/>
            <w:r>
              <w:rPr>
                <w:rFonts w:ascii="Calibri" w:hAnsi="Calibri"/>
                <w:b/>
                <w:sz w:val="20"/>
              </w:rPr>
              <w:t>Meaning</w:t>
            </w:r>
          </w:p>
        </w:tc>
      </w:tr>
      <w:tr>
        <w:tc>
          <w:tcPr>
            <w:tcW w:type="dxa" w:w="2016"/>
          </w:tcPr>
          <w:p>
            <w:r/>
            <w:r>
              <w:rPr>
                <w:rFonts w:ascii="Calibri" w:hAnsi="Calibri"/>
                <w:sz w:val="20"/>
              </w:rPr>
              <w:t>IgAN</w:t>
            </w:r>
          </w:p>
        </w:tc>
        <w:tc>
          <w:tcPr>
            <w:tcW w:type="dxa" w:w="7344"/>
          </w:tcPr>
          <w:p>
            <w:r/>
            <w:r>
              <w:rPr>
                <w:rFonts w:ascii="Calibri" w:hAnsi="Calibri"/>
                <w:sz w:val="20"/>
              </w:rPr>
              <w:t>Immunoglobulin A Nephropathy — an autoimmune kidney disease driven by pathogenic galactose-deficient IgA1 deposition in the glomeruli</w:t>
            </w:r>
          </w:p>
        </w:tc>
      </w:tr>
      <w:tr>
        <w:tc>
          <w:tcPr>
            <w:tcW w:type="dxa" w:w="2016"/>
          </w:tcPr>
          <w:p>
            <w:r/>
            <w:r>
              <w:rPr>
                <w:rFonts w:ascii="Calibri" w:hAnsi="Calibri"/>
                <w:sz w:val="20"/>
              </w:rPr>
              <w:t>BAFF</w:t>
            </w:r>
          </w:p>
        </w:tc>
        <w:tc>
          <w:tcPr>
            <w:tcW w:type="dxa" w:w="7344"/>
          </w:tcPr>
          <w:p>
            <w:r/>
            <w:r>
              <w:rPr>
                <w:rFonts w:ascii="Calibri" w:hAnsi="Calibri"/>
                <w:sz w:val="20"/>
              </w:rPr>
              <w:t>B-cell Activating Factor — cytokine supporting B-cell survival and autoantibody production</w:t>
            </w:r>
          </w:p>
        </w:tc>
      </w:tr>
      <w:tr>
        <w:tc>
          <w:tcPr>
            <w:tcW w:type="dxa" w:w="2016"/>
          </w:tcPr>
          <w:p>
            <w:r/>
            <w:r>
              <w:rPr>
                <w:rFonts w:ascii="Calibri" w:hAnsi="Calibri"/>
                <w:sz w:val="20"/>
              </w:rPr>
              <w:t>APRIL</w:t>
            </w:r>
          </w:p>
        </w:tc>
        <w:tc>
          <w:tcPr>
            <w:tcW w:type="dxa" w:w="7344"/>
          </w:tcPr>
          <w:p>
            <w:r/>
            <w:r>
              <w:rPr>
                <w:rFonts w:ascii="Calibri" w:hAnsi="Calibri"/>
                <w:sz w:val="20"/>
              </w:rPr>
              <w:t>A PRoliferation-Inducing Ligand — cytokine in the TNF family; upstream driver of Gd-IgA1 production</w:t>
            </w:r>
          </w:p>
        </w:tc>
      </w:tr>
      <w:tr>
        <w:tc>
          <w:tcPr>
            <w:tcW w:type="dxa" w:w="2016"/>
          </w:tcPr>
          <w:p>
            <w:r/>
            <w:r>
              <w:rPr>
                <w:rFonts w:ascii="Calibri" w:hAnsi="Calibri"/>
                <w:sz w:val="20"/>
              </w:rPr>
              <w:t>Gd-IgA1</w:t>
            </w:r>
          </w:p>
        </w:tc>
        <w:tc>
          <w:tcPr>
            <w:tcW w:type="dxa" w:w="7344"/>
          </w:tcPr>
          <w:p>
            <w:r/>
            <w:r>
              <w:rPr>
                <w:rFonts w:ascii="Calibri" w:hAnsi="Calibri"/>
                <w:sz w:val="20"/>
              </w:rPr>
              <w:t>Galactose-deficient IgA1 — the pathogenic autoantigen central to IgAN pathogenesis</w:t>
            </w:r>
          </w:p>
        </w:tc>
      </w:tr>
      <w:tr>
        <w:tc>
          <w:tcPr>
            <w:tcW w:type="dxa" w:w="2016"/>
          </w:tcPr>
          <w:p>
            <w:r/>
            <w:r>
              <w:rPr>
                <w:rFonts w:ascii="Calibri" w:hAnsi="Calibri"/>
                <w:sz w:val="20"/>
              </w:rPr>
              <w:t>TACI</w:t>
            </w:r>
          </w:p>
        </w:tc>
        <w:tc>
          <w:tcPr>
            <w:tcW w:type="dxa" w:w="7344"/>
          </w:tcPr>
          <w:p>
            <w:r/>
            <w:r>
              <w:rPr>
                <w:rFonts w:ascii="Calibri" w:hAnsi="Calibri"/>
                <w:sz w:val="20"/>
              </w:rPr>
              <w:t>Transmembrane Activator and Calcium-modulating Cyclophilin ligand Interactor — the receptor atacicept mimics to neutralize both BAFF and APRIL</w:t>
            </w:r>
          </w:p>
        </w:tc>
      </w:tr>
      <w:tr>
        <w:tc>
          <w:tcPr>
            <w:tcW w:type="dxa" w:w="2016"/>
          </w:tcPr>
          <w:p>
            <w:r/>
            <w:r>
              <w:rPr>
                <w:rFonts w:ascii="Calibri" w:hAnsi="Calibri"/>
                <w:sz w:val="20"/>
              </w:rPr>
              <w:t>BLA</w:t>
            </w:r>
          </w:p>
        </w:tc>
        <w:tc>
          <w:tcPr>
            <w:tcW w:type="dxa" w:w="7344"/>
          </w:tcPr>
          <w:p>
            <w:r/>
            <w:r>
              <w:rPr>
                <w:rFonts w:ascii="Calibri" w:hAnsi="Calibri"/>
                <w:sz w:val="20"/>
              </w:rPr>
              <w:t>Biologics License Application — the FDA submission for biologic drug approval</w:t>
            </w:r>
          </w:p>
        </w:tc>
      </w:tr>
      <w:tr>
        <w:tc>
          <w:tcPr>
            <w:tcW w:type="dxa" w:w="2016"/>
          </w:tcPr>
          <w:p>
            <w:r/>
            <w:r>
              <w:rPr>
                <w:rFonts w:ascii="Calibri" w:hAnsi="Calibri"/>
                <w:sz w:val="20"/>
              </w:rPr>
              <w:t>BTD</w:t>
            </w:r>
          </w:p>
        </w:tc>
        <w:tc>
          <w:tcPr>
            <w:tcW w:type="dxa" w:w="7344"/>
          </w:tcPr>
          <w:p>
            <w:r/>
            <w:r>
              <w:rPr>
                <w:rFonts w:ascii="Calibri" w:hAnsi="Calibri"/>
                <w:sz w:val="20"/>
              </w:rPr>
              <w:t>Breakthrough Therapy Designation — expedited FDA review pathway for drugs addressing serious unmet need</w:t>
            </w:r>
          </w:p>
        </w:tc>
      </w:tr>
      <w:tr>
        <w:tc>
          <w:tcPr>
            <w:tcW w:type="dxa" w:w="2016"/>
          </w:tcPr>
          <w:p>
            <w:r/>
            <w:r>
              <w:rPr>
                <w:rFonts w:ascii="Calibri" w:hAnsi="Calibri"/>
                <w:sz w:val="20"/>
              </w:rPr>
              <w:t>PDUFA</w:t>
            </w:r>
          </w:p>
        </w:tc>
        <w:tc>
          <w:tcPr>
            <w:tcW w:type="dxa" w:w="7344"/>
          </w:tcPr>
          <w:p>
            <w:r/>
            <w:r>
              <w:rPr>
                <w:rFonts w:ascii="Calibri" w:hAnsi="Calibri"/>
                <w:sz w:val="20"/>
              </w:rPr>
              <w:t>Prescription Drug User Fee Act — the target action date by which FDA must act on a BLA</w:t>
            </w:r>
          </w:p>
        </w:tc>
      </w:tr>
      <w:tr>
        <w:tc>
          <w:tcPr>
            <w:tcW w:type="dxa" w:w="2016"/>
          </w:tcPr>
          <w:p>
            <w:r/>
            <w:r>
              <w:rPr>
                <w:rFonts w:ascii="Calibri" w:hAnsi="Calibri"/>
                <w:sz w:val="20"/>
              </w:rPr>
              <w:t>AdCom</w:t>
            </w:r>
          </w:p>
        </w:tc>
        <w:tc>
          <w:tcPr>
            <w:tcW w:type="dxa" w:w="7344"/>
          </w:tcPr>
          <w:p>
            <w:r/>
            <w:r>
              <w:rPr>
                <w:rFonts w:ascii="Calibri" w:hAnsi="Calibri"/>
                <w:sz w:val="20"/>
              </w:rPr>
              <w:t>Advisory Committee — external FDA panel that reviews data; absence generally de-risks approval</w:t>
            </w:r>
          </w:p>
        </w:tc>
      </w:tr>
      <w:tr>
        <w:tc>
          <w:tcPr>
            <w:tcW w:type="dxa" w:w="2016"/>
          </w:tcPr>
          <w:p>
            <w:r/>
            <w:r>
              <w:rPr>
                <w:rFonts w:ascii="Calibri" w:hAnsi="Calibri"/>
                <w:sz w:val="20"/>
              </w:rPr>
              <w:t>AA</w:t>
            </w:r>
          </w:p>
        </w:tc>
        <w:tc>
          <w:tcPr>
            <w:tcW w:type="dxa" w:w="7344"/>
          </w:tcPr>
          <w:p>
            <w:r/>
            <w:r>
              <w:rPr>
                <w:rFonts w:ascii="Calibri" w:hAnsi="Calibri"/>
                <w:sz w:val="20"/>
              </w:rPr>
              <w:t>Accelerated Approval — FDA pathway allowing approval based on surrogate endpoints reasonably likely to predict clinical benefit</w:t>
            </w:r>
          </w:p>
        </w:tc>
      </w:tr>
      <w:tr>
        <w:tc>
          <w:tcPr>
            <w:tcW w:type="dxa" w:w="2016"/>
          </w:tcPr>
          <w:p>
            <w:r/>
            <w:r>
              <w:rPr>
                <w:rFonts w:ascii="Calibri" w:hAnsi="Calibri"/>
                <w:sz w:val="20"/>
              </w:rPr>
              <w:t>CRL</w:t>
            </w:r>
          </w:p>
        </w:tc>
        <w:tc>
          <w:tcPr>
            <w:tcW w:type="dxa" w:w="7344"/>
          </w:tcPr>
          <w:p>
            <w:r/>
            <w:r>
              <w:rPr>
                <w:rFonts w:ascii="Calibri" w:hAnsi="Calibri"/>
                <w:sz w:val="20"/>
              </w:rPr>
              <w:t>Complete Response Letter — FDA denial of the BLA citing deficiencies to be addressed</w:t>
            </w:r>
          </w:p>
        </w:tc>
      </w:tr>
      <w:tr>
        <w:tc>
          <w:tcPr>
            <w:tcW w:type="dxa" w:w="2016"/>
          </w:tcPr>
          <w:p>
            <w:r/>
            <w:r>
              <w:rPr>
                <w:rFonts w:ascii="Calibri" w:hAnsi="Calibri"/>
                <w:sz w:val="20"/>
              </w:rPr>
              <w:t>eGFR</w:t>
            </w:r>
          </w:p>
        </w:tc>
        <w:tc>
          <w:tcPr>
            <w:tcW w:type="dxa" w:w="7344"/>
          </w:tcPr>
          <w:p>
            <w:r/>
            <w:r>
              <w:rPr>
                <w:rFonts w:ascii="Calibri" w:hAnsi="Calibri"/>
                <w:sz w:val="20"/>
              </w:rPr>
              <w:t>Estimated Glomerular Filtration Rate — measure of kidney function</w:t>
            </w:r>
          </w:p>
        </w:tc>
      </w:tr>
      <w:tr>
        <w:tc>
          <w:tcPr>
            <w:tcW w:type="dxa" w:w="2016"/>
          </w:tcPr>
          <w:p>
            <w:r/>
            <w:r>
              <w:rPr>
                <w:rFonts w:ascii="Calibri" w:hAnsi="Calibri"/>
                <w:sz w:val="20"/>
              </w:rPr>
              <w:t>UPCR</w:t>
            </w:r>
          </w:p>
        </w:tc>
        <w:tc>
          <w:tcPr>
            <w:tcW w:type="dxa" w:w="7344"/>
          </w:tcPr>
          <w:p>
            <w:r/>
            <w:r>
              <w:rPr>
                <w:rFonts w:ascii="Calibri" w:hAnsi="Calibri"/>
                <w:sz w:val="20"/>
              </w:rPr>
              <w:t>Urine Protein-to-Creatinine Ratio — proteinuria measure; the AA surrogate endpoint for IgAN</w:t>
            </w:r>
          </w:p>
        </w:tc>
      </w:tr>
      <w:tr>
        <w:tc>
          <w:tcPr>
            <w:tcW w:type="dxa" w:w="2016"/>
          </w:tcPr>
          <w:p>
            <w:r/>
            <w:r>
              <w:rPr>
                <w:rFonts w:ascii="Calibri" w:hAnsi="Calibri"/>
                <w:sz w:val="20"/>
              </w:rPr>
              <w:t>SoC</w:t>
            </w:r>
          </w:p>
        </w:tc>
        <w:tc>
          <w:tcPr>
            <w:tcW w:type="dxa" w:w="7344"/>
          </w:tcPr>
          <w:p>
            <w:r/>
            <w:r>
              <w:rPr>
                <w:rFonts w:ascii="Calibri" w:hAnsi="Calibri"/>
                <w:sz w:val="20"/>
              </w:rPr>
              <w:t>Standard of Care</w:t>
            </w:r>
          </w:p>
        </w:tc>
      </w:tr>
      <w:tr>
        <w:tc>
          <w:tcPr>
            <w:tcW w:type="dxa" w:w="2016"/>
          </w:tcPr>
          <w:p>
            <w:r/>
            <w:r>
              <w:rPr>
                <w:rFonts w:ascii="Calibri" w:hAnsi="Calibri"/>
                <w:sz w:val="20"/>
              </w:rPr>
              <w:t>13G/A</w:t>
            </w:r>
          </w:p>
        </w:tc>
        <w:tc>
          <w:tcPr>
            <w:tcW w:type="dxa" w:w="7344"/>
          </w:tcPr>
          <w:p>
            <w:r/>
            <w:r>
              <w:rPr>
                <w:rFonts w:ascii="Calibri" w:hAnsi="Calibri"/>
                <w:sz w:val="20"/>
              </w:rPr>
              <w:t>SEC Schedule 13G amendment — passive institutional ownership filing</w:t>
            </w:r>
          </w:p>
        </w:tc>
      </w:tr>
      <w:tr>
        <w:tc>
          <w:tcPr>
            <w:tcW w:type="dxa" w:w="2016"/>
          </w:tcPr>
          <w:p>
            <w:r/>
            <w:r>
              <w:rPr>
                <w:rFonts w:ascii="Calibri" w:hAnsi="Calibri"/>
                <w:sz w:val="20"/>
              </w:rPr>
              <w:t>13D</w:t>
            </w:r>
          </w:p>
        </w:tc>
        <w:tc>
          <w:tcPr>
            <w:tcW w:type="dxa" w:w="7344"/>
          </w:tcPr>
          <w:p>
            <w:r/>
            <w:r>
              <w:rPr>
                <w:rFonts w:ascii="Calibri" w:hAnsi="Calibri"/>
                <w:sz w:val="20"/>
              </w:rPr>
              <w:t>SEC Schedule 13D — active institutional ownership filing (typically &gt;5% with intent to influence)</w:t>
            </w:r>
          </w:p>
        </w:tc>
      </w:tr>
      <w:tr>
        <w:tc>
          <w:tcPr>
            <w:tcW w:type="dxa" w:w="2016"/>
          </w:tcPr>
          <w:p>
            <w:r/>
            <w:r>
              <w:rPr>
                <w:rFonts w:ascii="Calibri" w:hAnsi="Calibri"/>
                <w:sz w:val="20"/>
              </w:rPr>
              <w:t>ORIGIN</w:t>
            </w:r>
          </w:p>
        </w:tc>
        <w:tc>
          <w:tcPr>
            <w:tcW w:type="dxa" w:w="7344"/>
          </w:tcPr>
          <w:p>
            <w:r/>
            <w:r>
              <w:rPr>
                <w:rFonts w:ascii="Calibri" w:hAnsi="Calibri"/>
                <w:sz w:val="20"/>
              </w:rPr>
              <w:t>Vera's pivotal Phase 3 trial of atacicept in IgAN (N=431)</w:t>
            </w:r>
          </w:p>
        </w:tc>
      </w:tr>
      <w:tr>
        <w:tc>
          <w:tcPr>
            <w:tcW w:type="dxa" w:w="2016"/>
          </w:tcPr>
          <w:p>
            <w:r/>
            <w:r>
              <w:rPr>
                <w:rFonts w:ascii="Calibri" w:hAnsi="Calibri"/>
                <w:sz w:val="20"/>
              </w:rPr>
              <w:t>VISIONARY</w:t>
            </w:r>
          </w:p>
        </w:tc>
        <w:tc>
          <w:tcPr>
            <w:tcW w:type="dxa" w:w="7344"/>
          </w:tcPr>
          <w:p>
            <w:r/>
            <w:r>
              <w:rPr>
                <w:rFonts w:ascii="Calibri" w:hAnsi="Calibri"/>
                <w:sz w:val="20"/>
              </w:rPr>
              <w:t>Otsuka/Visterra's pivotal Phase 3 trial of sibeprenlimab in IgAN</w:t>
            </w:r>
          </w:p>
        </w:tc>
      </w:tr>
      <w:tr>
        <w:tc>
          <w:tcPr>
            <w:tcW w:type="dxa" w:w="2016"/>
          </w:tcPr>
          <w:p>
            <w:r/>
            <w:r>
              <w:rPr>
                <w:rFonts w:ascii="Calibri" w:hAnsi="Calibri"/>
                <w:sz w:val="20"/>
              </w:rPr>
              <w:t>SI</w:t>
            </w:r>
          </w:p>
        </w:tc>
        <w:tc>
          <w:tcPr>
            <w:tcW w:type="dxa" w:w="7344"/>
          </w:tcPr>
          <w:p>
            <w:r/>
            <w:r>
              <w:rPr>
                <w:rFonts w:ascii="Calibri" w:hAnsi="Calibri"/>
                <w:sz w:val="20"/>
              </w:rPr>
              <w:t>Short Interest (% of float sold short)</w:t>
            </w:r>
          </w:p>
        </w:tc>
      </w:tr>
      <w:tr>
        <w:tc>
          <w:tcPr>
            <w:tcW w:type="dxa" w:w="2016"/>
          </w:tcPr>
          <w:p>
            <w:r/>
            <w:r>
              <w:rPr>
                <w:rFonts w:ascii="Calibri" w:hAnsi="Calibri"/>
                <w:sz w:val="20"/>
              </w:rPr>
              <w:t>IV</w:t>
            </w:r>
          </w:p>
        </w:tc>
        <w:tc>
          <w:tcPr>
            <w:tcW w:type="dxa" w:w="7344"/>
          </w:tcPr>
          <w:p>
            <w:r/>
            <w:r>
              <w:rPr>
                <w:rFonts w:ascii="Calibri" w:hAnsi="Calibri"/>
                <w:sz w:val="20"/>
              </w:rPr>
              <w:t>Implied Volatility — options market's forecast of forward realized vol</w:t>
            </w:r>
          </w:p>
        </w:tc>
      </w:tr>
      <w:tr>
        <w:tc>
          <w:tcPr>
            <w:tcW w:type="dxa" w:w="2016"/>
          </w:tcPr>
          <w:p>
            <w:r/>
            <w:r>
              <w:rPr>
                <w:rFonts w:ascii="Calibri" w:hAnsi="Calibri"/>
                <w:sz w:val="20"/>
              </w:rPr>
              <w:t>ADV</w:t>
            </w:r>
          </w:p>
        </w:tc>
        <w:tc>
          <w:tcPr>
            <w:tcW w:type="dxa" w:w="7344"/>
          </w:tcPr>
          <w:p>
            <w:r/>
            <w:r>
              <w:rPr>
                <w:rFonts w:ascii="Calibri" w:hAnsi="Calibri"/>
                <w:sz w:val="20"/>
              </w:rPr>
              <w:t>Average Daily (dollar) Volume</w:t>
            </w:r>
          </w:p>
        </w:tc>
      </w:tr>
      <w:tr>
        <w:tc>
          <w:tcPr>
            <w:tcW w:type="dxa" w:w="2016"/>
          </w:tcPr>
          <w:p>
            <w:r/>
            <w:r>
              <w:rPr>
                <w:rFonts w:ascii="Calibri" w:hAnsi="Calibri"/>
                <w:sz w:val="20"/>
              </w:rPr>
              <w:t>Mcap</w:t>
            </w:r>
          </w:p>
        </w:tc>
        <w:tc>
          <w:tcPr>
            <w:tcW w:type="dxa" w:w="7344"/>
          </w:tcPr>
          <w:p>
            <w:r/>
            <w:r>
              <w:rPr>
                <w:rFonts w:ascii="Calibri" w:hAnsi="Calibri"/>
                <w:sz w:val="20"/>
              </w:rPr>
              <w:t>Market capitalization</w:t>
            </w:r>
          </w:p>
        </w:tc>
      </w:tr>
    </w:tbl>
    <w:p>
      <w:pPr>
        <w:spacing w:line="276" w:lineRule="auto"/>
      </w:pPr>
    </w:p>
    <w:p>
      <w:pPr>
        <w:spacing w:before="240" w:after="80" w:line="276" w:lineRule="auto"/>
      </w:pPr>
      <w:r>
        <w:rPr>
          <w:rFonts w:ascii="Calibri" w:hAnsi="Calibri"/>
          <w:b/>
          <w:sz w:val="36"/>
        </w:rPr>
        <w:t>Summary</w:t>
      </w:r>
    </w:p>
    <w:p>
      <w:pPr>
        <w:spacing w:line="276" w:lineRule="auto"/>
        <w:jc w:val="both"/>
      </w:pPr>
      <w:r>
        <w:rPr>
          <w:rFonts w:ascii="Calibri" w:hAnsi="Calibri"/>
          <w:b w:val="0"/>
          <w:i w:val="0"/>
          <w:sz w:val="22"/>
        </w:rPr>
        <w:t>Vera Therapeutics has a binary regulatory catalyst on 7 July 2026 — a US Food and Drug Administration PDUFA decision on atacicept, a first-in-class dual BAFF+APRIL inhibitor, for the treatment of adult IgA Nephropathy. The BLA was submitted through the Accelerated Approval Program, FDA accepted it with Priority Review in January 2026, no Advisory Committee has been convened, and the dataset — published in the New England Journal of Medicine — shows the most complete efficacy signature in the IgAN class to date. The central question this thesis answers is not whether atacicept gets approved. The dataset, the designation stack, and the absence of an AdCom make approval the base case. The question is whether the market is correctly pricing atacicept's commercial positioning in a suddenly crowded IgAN landscape where the direct mechanistic reference point — Otsuka's sibeprenlimab — was itself approved less than five months ago at a $292,500 annual net price. This thesis argues the market is anchored on 'another me-too in a crowded field' and is missing the mechanistic and pricing asymmetry.</w:t>
      </w:r>
    </w:p>
    <w:p>
      <w:pPr>
        <w:spacing w:before="240" w:after="80" w:line="276" w:lineRule="auto"/>
      </w:pPr>
      <w:r>
        <w:rPr>
          <w:rFonts w:ascii="Calibri" w:hAnsi="Calibri"/>
          <w:b/>
          <w:sz w:val="28"/>
        </w:rPr>
        <w:t>The Case in Five Points</w:t>
      </w:r>
    </w:p>
    <w:p>
      <w:pPr>
        <w:spacing w:line="276" w:lineRule="auto"/>
        <w:jc w:val="both"/>
      </w:pPr>
      <w:r>
        <w:rPr>
          <w:rFonts w:ascii="Calibri" w:hAnsi="Calibri"/>
          <w:b/>
          <w:sz w:val="22"/>
        </w:rPr>
        <w:t xml:space="preserve">1. The regulatory signal stack is as strong as it gets in biotech. </w:t>
      </w:r>
      <w:r>
        <w:rPr>
          <w:rFonts w:ascii="Calibri" w:hAnsi="Calibri"/>
          <w:sz w:val="22"/>
        </w:rPr>
        <w:t>Breakthrough Therapy Designation plus Priority Review plus Accelerated Approval Program submission plus no AdCom plus a New England Journal of Medicine publication of the pivotal dataset. FDA has not signalled — via information requests, safety communications, or AdCom convening — any reason to doubt approvability. Base-case approval probability on 7 July 2026 is materially above the class-average biologics BLA approval rate of roughly 80%.</w:t>
      </w:r>
    </w:p>
    <w:p>
      <w:pPr>
        <w:spacing w:line="276" w:lineRule="auto"/>
        <w:jc w:val="both"/>
      </w:pPr>
      <w:r>
        <w:rPr>
          <w:rFonts w:ascii="Calibri" w:hAnsi="Calibri"/>
          <w:b/>
          <w:sz w:val="22"/>
        </w:rPr>
        <w:t xml:space="preserve">2. The efficacy profile is the most complete in the class, not a me-too. </w:t>
      </w:r>
      <w:r>
        <w:rPr>
          <w:rFonts w:ascii="Calibri" w:hAnsi="Calibri"/>
          <w:sz w:val="22"/>
        </w:rPr>
        <w:t>ORIGIN's 36-week interim analysis showed a 42% placebo-adjusted proteinuria reduction (p&lt;0.0001), a 68% Gd-IgA1 reduction, and resolution of hematuria in 81% of baseline-hematuria patients. APRIL-only sibeprenlimab (VOYXACT) showed a 51% placebo-adjusted proteinuria reduction in VISIONARY at nine months — comparable on the surrogate endpoint, but atacicept adds the upstream Gd-IgA1 kill (the pathogenic autoantigen itself) and the hematuria resolution signal sibeprenlimab did not report. Mechanistically, dual BAFF+APRIL inhibition is not marketing — it is demonstrable kinetic differentiation on the target biology.</w:t>
      </w:r>
    </w:p>
    <w:p>
      <w:pPr>
        <w:spacing w:line="276" w:lineRule="auto"/>
        <w:jc w:val="both"/>
      </w:pPr>
      <w:r>
        <w:rPr>
          <w:rFonts w:ascii="Calibri" w:hAnsi="Calibri"/>
          <w:b/>
          <w:sz w:val="22"/>
        </w:rPr>
        <w:t xml:space="preserve">3. The commercial 'crowded field' narrative overstates the substitution risk. </w:t>
      </w:r>
      <w:r>
        <w:rPr>
          <w:rFonts w:ascii="Calibri" w:hAnsi="Calibri"/>
          <w:sz w:val="22"/>
        </w:rPr>
        <w:t>Of the five approved IgAN therapies, three operate on fundamentally different pathways (Filspari on ET-A/AT1, Fabhalta on complement factor B, Tarpeyo via targeted steroid) and are used as adjunctive background therapy, not head-to-head substitutes for an upstream B-cell-pathway biologic. Only sibeprenlimab is a direct mechanistic competitor. Nephrology uptake in IgAN is sequential layering, not winner-take-all — ICER's own evidence report treats these as complementary lines rather than a single winner's market.</w:t>
      </w:r>
    </w:p>
    <w:p>
      <w:pPr>
        <w:spacing w:line="276" w:lineRule="auto"/>
        <w:jc w:val="both"/>
      </w:pPr>
      <w:r>
        <w:rPr>
          <w:rFonts w:ascii="Calibri" w:hAnsi="Calibri"/>
          <w:b/>
          <w:sz w:val="22"/>
        </w:rPr>
        <w:t xml:space="preserve">4. Sibeprenlimab's $292,500 sticker sets a favorable price anchor, not a ceiling. </w:t>
      </w:r>
      <w:r>
        <w:rPr>
          <w:rFonts w:ascii="Calibri" w:hAnsi="Calibri"/>
          <w:sz w:val="22"/>
        </w:rPr>
        <w:t>Guggenheim and AJMC coverage explicitly frame VOYXACT's label as broad — 'at risk for disease progression' without the typical 1.5 g/day proteinuria minimum other IgAN approvals carry. That establishes pricing corridor and reimbursement precedent at a premium. Vera can price at parity or slight discount and still deliver peak sales analysts currently model in the $500–700 million range, with consensus risk-adjusted revenue scaling to roughly $2.5 billion by 2033 per third-party models.</w:t>
      </w:r>
    </w:p>
    <w:p>
      <w:pPr>
        <w:spacing w:line="276" w:lineRule="auto"/>
        <w:jc w:val="both"/>
      </w:pPr>
      <w:r>
        <w:rPr>
          <w:rFonts w:ascii="Calibri" w:hAnsi="Calibri"/>
          <w:b/>
          <w:sz w:val="22"/>
        </w:rPr>
        <w:t xml:space="preserve">5. Institutional tape confirms conviction, not skepticism. </w:t>
      </w:r>
      <w:r>
        <w:rPr>
          <w:rFonts w:ascii="Calibri" w:hAnsi="Calibri"/>
          <w:sz w:val="22"/>
        </w:rPr>
        <w:t>Deep Track Capital crossed 5% in March 2026 (~$176M position). Point72 disclosed a new ~$55M 13G in April. 89 inducement-grant new hires on 8 April (258,200 options at $40.33 strike + 131,925 RSUs) is the operating tell — companies do not build commercial organizations at this scale while expecting a CRL. Former Citi biotech banker Christopher Hite joined the board in March 2026, historically a signal of active M&amp;A optionality in mid-cap biotech.</w:t>
      </w:r>
    </w:p>
    <w:p>
      <w:pPr>
        <w:spacing w:before="240" w:after="80" w:line="276" w:lineRule="auto"/>
      </w:pPr>
      <w:r>
        <w:rPr>
          <w:rFonts w:ascii="Calibri" w:hAnsi="Calibri"/>
          <w:b/>
          <w:sz w:val="28"/>
        </w:rPr>
        <w:t>Key Numbers</w:t>
      </w:r>
    </w:p>
    <w:tbl>
      <w:tblPr>
        <w:tblStyle w:val="TableGrid"/>
        <w:tblW w:type="auto" w:w="0"/>
        <w:tblLook w:firstColumn="1" w:firstRow="1" w:lastColumn="0" w:lastRow="0" w:noHBand="0" w:noVBand="1" w:val="04A0"/>
      </w:tblPr>
      <w:tblGrid>
        <w:gridCol w:w="3120"/>
        <w:gridCol w:w="3120"/>
        <w:gridCol w:w="3120"/>
      </w:tblGrid>
      <w:tr>
        <w:tc>
          <w:tcPr>
            <w:tcW w:type="dxa" w:w="3456"/>
            <w:shd w:val="clear" w:color="auto" w:fill="D9D9D9"/>
          </w:tcPr>
          <w:p>
            <w:r/>
            <w:r>
              <w:rPr>
                <w:rFonts w:ascii="Calibri" w:hAnsi="Calibri"/>
                <w:b/>
                <w:sz w:val="20"/>
              </w:rPr>
              <w:t>Metric</w:t>
            </w:r>
          </w:p>
        </w:tc>
        <w:tc>
          <w:tcPr>
            <w:tcW w:type="dxa" w:w="2592"/>
            <w:shd w:val="clear" w:color="auto" w:fill="D9D9D9"/>
          </w:tcPr>
          <w:p>
            <w:r/>
            <w:r>
              <w:rPr>
                <w:rFonts w:ascii="Calibri" w:hAnsi="Calibri"/>
                <w:b/>
                <w:sz w:val="20"/>
              </w:rPr>
              <w:t>Value</w:t>
            </w:r>
          </w:p>
        </w:tc>
        <w:tc>
          <w:tcPr>
            <w:tcW w:type="dxa" w:w="3312"/>
            <w:shd w:val="clear" w:color="auto" w:fill="D9D9D9"/>
          </w:tcPr>
          <w:p>
            <w:r/>
            <w:r>
              <w:rPr>
                <w:rFonts w:ascii="Calibri" w:hAnsi="Calibri"/>
                <w:b/>
                <w:sz w:val="20"/>
              </w:rPr>
              <w:t>Note</w:t>
            </w:r>
          </w:p>
        </w:tc>
      </w:tr>
      <w:tr>
        <w:tc>
          <w:tcPr>
            <w:tcW w:type="dxa" w:w="3456"/>
          </w:tcPr>
          <w:p>
            <w:r/>
            <w:r>
              <w:rPr>
                <w:rFonts w:ascii="Calibri" w:hAnsi="Calibri"/>
                <w:sz w:val="20"/>
              </w:rPr>
              <w:t>Current price (10 Apr 2026 close)</w:t>
            </w:r>
          </w:p>
        </w:tc>
        <w:tc>
          <w:tcPr>
            <w:tcW w:type="dxa" w:w="2592"/>
          </w:tcPr>
          <w:p>
            <w:r/>
            <w:r>
              <w:rPr>
                <w:rFonts w:ascii="Calibri" w:hAnsi="Calibri"/>
                <w:sz w:val="20"/>
              </w:rPr>
              <w:t>$45.04</w:t>
            </w:r>
          </w:p>
        </w:tc>
        <w:tc>
          <w:tcPr>
            <w:tcW w:type="dxa" w:w="3312"/>
          </w:tcPr>
          <w:p>
            <w:r/>
            <w:r>
              <w:rPr>
                <w:rFonts w:ascii="Calibri" w:hAnsi="Calibri"/>
                <w:sz w:val="20"/>
              </w:rPr>
              <w:t>+10.0% on day, 2.57× average volume — momentum tape</w:t>
            </w:r>
          </w:p>
        </w:tc>
      </w:tr>
      <w:tr>
        <w:tc>
          <w:tcPr>
            <w:tcW w:type="dxa" w:w="3456"/>
          </w:tcPr>
          <w:p>
            <w:r/>
            <w:r>
              <w:rPr>
                <w:rFonts w:ascii="Calibri" w:hAnsi="Calibri"/>
                <w:sz w:val="20"/>
              </w:rPr>
              <w:t>Market capitalization</w:t>
            </w:r>
          </w:p>
        </w:tc>
        <w:tc>
          <w:tcPr>
            <w:tcW w:type="dxa" w:w="2592"/>
          </w:tcPr>
          <w:p>
            <w:r/>
            <w:r>
              <w:rPr>
                <w:rFonts w:ascii="Calibri" w:hAnsi="Calibri"/>
                <w:sz w:val="20"/>
              </w:rPr>
              <w:t>~$3.23B</w:t>
            </w:r>
          </w:p>
        </w:tc>
        <w:tc>
          <w:tcPr>
            <w:tcW w:type="dxa" w:w="3312"/>
          </w:tcPr>
          <w:p>
            <w:r/>
            <w:r>
              <w:rPr>
                <w:rFonts w:ascii="Calibri" w:hAnsi="Calibri"/>
                <w:sz w:val="20"/>
              </w:rPr>
              <w:t>71.7M shares outstanding</w:t>
            </w:r>
          </w:p>
        </w:tc>
      </w:tr>
      <w:tr>
        <w:tc>
          <w:tcPr>
            <w:tcW w:type="dxa" w:w="3456"/>
          </w:tcPr>
          <w:p>
            <w:r/>
            <w:r>
              <w:rPr>
                <w:rFonts w:ascii="Calibri" w:hAnsi="Calibri"/>
                <w:sz w:val="20"/>
              </w:rPr>
              <w:t>30-day dollar ADV</w:t>
            </w:r>
          </w:p>
        </w:tc>
        <w:tc>
          <w:tcPr>
            <w:tcW w:type="dxa" w:w="2592"/>
          </w:tcPr>
          <w:p>
            <w:r/>
            <w:r>
              <w:rPr>
                <w:rFonts w:ascii="Calibri" w:hAnsi="Calibri"/>
                <w:sz w:val="20"/>
              </w:rPr>
              <w:t>~$61M/day</w:t>
            </w:r>
          </w:p>
        </w:tc>
        <w:tc>
          <w:tcPr>
            <w:tcW w:type="dxa" w:w="3312"/>
          </w:tcPr>
          <w:p>
            <w:r/>
            <w:r>
              <w:rPr>
                <w:rFonts w:ascii="Calibri" w:hAnsi="Calibri"/>
                <w:sz w:val="20"/>
              </w:rPr>
              <w:t>Excellent liquidity for size envelope</w:t>
            </w:r>
          </w:p>
        </w:tc>
      </w:tr>
      <w:tr>
        <w:tc>
          <w:tcPr>
            <w:tcW w:type="dxa" w:w="3456"/>
          </w:tcPr>
          <w:p>
            <w:r/>
            <w:r>
              <w:rPr>
                <w:rFonts w:ascii="Calibri" w:hAnsi="Calibri"/>
                <w:sz w:val="20"/>
              </w:rPr>
              <w:t>Consensus price target (10 analysts)</w:t>
            </w:r>
          </w:p>
        </w:tc>
        <w:tc>
          <w:tcPr>
            <w:tcW w:type="dxa" w:w="2592"/>
          </w:tcPr>
          <w:p>
            <w:r/>
            <w:r>
              <w:rPr>
                <w:rFonts w:ascii="Calibri" w:hAnsi="Calibri"/>
                <w:sz w:val="20"/>
              </w:rPr>
              <w:t>Buy rating</w:t>
            </w:r>
          </w:p>
        </w:tc>
        <w:tc>
          <w:tcPr>
            <w:tcW w:type="dxa" w:w="3312"/>
          </w:tcPr>
          <w:p>
            <w:r/>
            <w:r>
              <w:rPr>
                <w:rFonts w:ascii="Calibri" w:hAnsi="Calibri"/>
                <w:sz w:val="20"/>
              </w:rPr>
              <w:t>Range and mean discussed in Appendix; Wolfe PT $88 (Feb 2026)</w:t>
            </w:r>
          </w:p>
        </w:tc>
      </w:tr>
      <w:tr>
        <w:tc>
          <w:tcPr>
            <w:tcW w:type="dxa" w:w="3456"/>
          </w:tcPr>
          <w:p>
            <w:r/>
            <w:r>
              <w:rPr>
                <w:rFonts w:ascii="Calibri" w:hAnsi="Calibri"/>
                <w:sz w:val="20"/>
              </w:rPr>
              <w:t>PDUFA target action date</w:t>
            </w:r>
          </w:p>
        </w:tc>
        <w:tc>
          <w:tcPr>
            <w:tcW w:type="dxa" w:w="2592"/>
          </w:tcPr>
          <w:p>
            <w:r/>
            <w:r>
              <w:rPr>
                <w:rFonts w:ascii="Calibri" w:hAnsi="Calibri"/>
                <w:sz w:val="20"/>
              </w:rPr>
              <w:t>7 July 2026</w:t>
            </w:r>
          </w:p>
        </w:tc>
        <w:tc>
          <w:tcPr>
            <w:tcW w:type="dxa" w:w="3312"/>
          </w:tcPr>
          <w:p>
            <w:r/>
            <w:r>
              <w:rPr>
                <w:rFonts w:ascii="Calibri" w:hAnsi="Calibri"/>
                <w:sz w:val="20"/>
              </w:rPr>
              <w:t>T-minus 84 calendar days from this note</w:t>
            </w:r>
          </w:p>
        </w:tc>
      </w:tr>
      <w:tr>
        <w:tc>
          <w:tcPr>
            <w:tcW w:type="dxa" w:w="3456"/>
          </w:tcPr>
          <w:p>
            <w:r/>
            <w:r>
              <w:rPr>
                <w:rFonts w:ascii="Calibri" w:hAnsi="Calibri"/>
                <w:sz w:val="20"/>
              </w:rPr>
              <w:t>Regulatory designations</w:t>
            </w:r>
          </w:p>
        </w:tc>
        <w:tc>
          <w:tcPr>
            <w:tcW w:type="dxa" w:w="2592"/>
          </w:tcPr>
          <w:p>
            <w:r/>
            <w:r>
              <w:rPr>
                <w:rFonts w:ascii="Calibri" w:hAnsi="Calibri"/>
                <w:sz w:val="20"/>
              </w:rPr>
              <w:t>BTD + Priority Review + AA</w:t>
            </w:r>
          </w:p>
        </w:tc>
        <w:tc>
          <w:tcPr>
            <w:tcW w:type="dxa" w:w="3312"/>
          </w:tcPr>
          <w:p>
            <w:r/>
            <w:r>
              <w:rPr>
                <w:rFonts w:ascii="Calibri" w:hAnsi="Calibri"/>
                <w:sz w:val="20"/>
              </w:rPr>
              <w:t>No AdCom convened</w:t>
            </w:r>
          </w:p>
        </w:tc>
      </w:tr>
      <w:tr>
        <w:tc>
          <w:tcPr>
            <w:tcW w:type="dxa" w:w="3456"/>
          </w:tcPr>
          <w:p>
            <w:r/>
            <w:r>
              <w:rPr>
                <w:rFonts w:ascii="Calibri" w:hAnsi="Calibri"/>
                <w:sz w:val="20"/>
              </w:rPr>
              <w:t>ORIGIN placebo-adjusted proteinuria reduction</w:t>
            </w:r>
          </w:p>
        </w:tc>
        <w:tc>
          <w:tcPr>
            <w:tcW w:type="dxa" w:w="2592"/>
          </w:tcPr>
          <w:p>
            <w:r/>
            <w:r>
              <w:rPr>
                <w:rFonts w:ascii="Calibri" w:hAnsi="Calibri"/>
                <w:sz w:val="20"/>
              </w:rPr>
              <w:t>42% (p&lt;0.0001)</w:t>
            </w:r>
          </w:p>
        </w:tc>
        <w:tc>
          <w:tcPr>
            <w:tcW w:type="dxa" w:w="3312"/>
          </w:tcPr>
          <w:p>
            <w:r/>
            <w:r>
              <w:rPr>
                <w:rFonts w:ascii="Calibri" w:hAnsi="Calibri"/>
                <w:sz w:val="20"/>
              </w:rPr>
              <w:t>Most complete efficacy profile in class</w:t>
            </w:r>
          </w:p>
        </w:tc>
      </w:tr>
      <w:tr>
        <w:tc>
          <w:tcPr>
            <w:tcW w:type="dxa" w:w="3456"/>
          </w:tcPr>
          <w:p>
            <w:r/>
            <w:r>
              <w:rPr>
                <w:rFonts w:ascii="Calibri" w:hAnsi="Calibri"/>
                <w:sz w:val="20"/>
              </w:rPr>
              <w:t>ORIGIN Gd-IgA1 reduction</w:t>
            </w:r>
          </w:p>
        </w:tc>
        <w:tc>
          <w:tcPr>
            <w:tcW w:type="dxa" w:w="2592"/>
          </w:tcPr>
          <w:p>
            <w:r/>
            <w:r>
              <w:rPr>
                <w:rFonts w:ascii="Calibri" w:hAnsi="Calibri"/>
                <w:sz w:val="20"/>
              </w:rPr>
              <w:t>68%</w:t>
            </w:r>
          </w:p>
        </w:tc>
        <w:tc>
          <w:tcPr>
            <w:tcW w:type="dxa" w:w="3312"/>
          </w:tcPr>
          <w:p>
            <w:r/>
            <w:r>
              <w:rPr>
                <w:rFonts w:ascii="Calibri" w:hAnsi="Calibri"/>
                <w:sz w:val="20"/>
              </w:rPr>
              <w:t>Upstream pathogen autoantigen — mechanistic differentiation</w:t>
            </w:r>
          </w:p>
        </w:tc>
      </w:tr>
      <w:tr>
        <w:tc>
          <w:tcPr>
            <w:tcW w:type="dxa" w:w="3456"/>
          </w:tcPr>
          <w:p>
            <w:r/>
            <w:r>
              <w:rPr>
                <w:rFonts w:ascii="Calibri" w:hAnsi="Calibri"/>
                <w:sz w:val="20"/>
              </w:rPr>
              <w:t>ORIGIN hematuria resolution</w:t>
            </w:r>
          </w:p>
        </w:tc>
        <w:tc>
          <w:tcPr>
            <w:tcW w:type="dxa" w:w="2592"/>
          </w:tcPr>
          <w:p>
            <w:r/>
            <w:r>
              <w:rPr>
                <w:rFonts w:ascii="Calibri" w:hAnsi="Calibri"/>
                <w:sz w:val="20"/>
              </w:rPr>
              <w:t>81%</w:t>
            </w:r>
          </w:p>
        </w:tc>
        <w:tc>
          <w:tcPr>
            <w:tcW w:type="dxa" w:w="3312"/>
          </w:tcPr>
          <w:p>
            <w:r/>
            <w:r>
              <w:rPr>
                <w:rFonts w:ascii="Calibri" w:hAnsi="Calibri"/>
                <w:sz w:val="20"/>
              </w:rPr>
              <w:t>Unique to atacicept vs sibeprenlimab VISIONARY</w:t>
            </w:r>
          </w:p>
        </w:tc>
      </w:tr>
      <w:tr>
        <w:tc>
          <w:tcPr>
            <w:tcW w:type="dxa" w:w="3456"/>
          </w:tcPr>
          <w:p>
            <w:r/>
            <w:r>
              <w:rPr>
                <w:rFonts w:ascii="Calibri" w:hAnsi="Calibri"/>
                <w:sz w:val="20"/>
              </w:rPr>
              <w:t>Sibeprenlimab (VOYXACT) comparator price</w:t>
            </w:r>
          </w:p>
        </w:tc>
        <w:tc>
          <w:tcPr>
            <w:tcW w:type="dxa" w:w="2592"/>
          </w:tcPr>
          <w:p>
            <w:r/>
            <w:r>
              <w:rPr>
                <w:rFonts w:ascii="Calibri" w:hAnsi="Calibri"/>
                <w:sz w:val="20"/>
              </w:rPr>
              <w:t>$292,500/year net</w:t>
            </w:r>
          </w:p>
        </w:tc>
        <w:tc>
          <w:tcPr>
            <w:tcW w:type="dxa" w:w="3312"/>
          </w:tcPr>
          <w:p>
            <w:r/>
            <w:r>
              <w:rPr>
                <w:rFonts w:ascii="Calibri" w:hAnsi="Calibri"/>
                <w:sz w:val="20"/>
              </w:rPr>
              <w:t>Approved Nov 2025; sets anchor — not ceiling</w:t>
            </w:r>
          </w:p>
        </w:tc>
      </w:tr>
      <w:tr>
        <w:tc>
          <w:tcPr>
            <w:tcW w:type="dxa" w:w="3456"/>
          </w:tcPr>
          <w:p>
            <w:r/>
            <w:r>
              <w:rPr>
                <w:rFonts w:ascii="Calibri" w:hAnsi="Calibri"/>
                <w:sz w:val="20"/>
              </w:rPr>
              <w:t>US IgAN addressable prevalence</w:t>
            </w:r>
          </w:p>
        </w:tc>
        <w:tc>
          <w:tcPr>
            <w:tcW w:type="dxa" w:w="2592"/>
          </w:tcPr>
          <w:p>
            <w:r/>
            <w:r>
              <w:rPr>
                <w:rFonts w:ascii="Calibri" w:hAnsi="Calibri"/>
                <w:sz w:val="20"/>
              </w:rPr>
              <w:t>~200,000 patients</w:t>
            </w:r>
          </w:p>
        </w:tc>
        <w:tc>
          <w:tcPr>
            <w:tcW w:type="dxa" w:w="3312"/>
          </w:tcPr>
          <w:p>
            <w:r/>
            <w:r>
              <w:rPr>
                <w:rFonts w:ascii="Calibri" w:hAnsi="Calibri"/>
                <w:sz w:val="20"/>
              </w:rPr>
              <w:t>HCPLive 2021 data: 198,887–208,184 prevalent cases</w:t>
            </w:r>
          </w:p>
        </w:tc>
      </w:tr>
      <w:tr>
        <w:tc>
          <w:tcPr>
            <w:tcW w:type="dxa" w:w="3456"/>
          </w:tcPr>
          <w:p>
            <w:r/>
            <w:r>
              <w:rPr>
                <w:rFonts w:ascii="Calibri" w:hAnsi="Calibri"/>
                <w:sz w:val="20"/>
              </w:rPr>
              <w:t>Cash position (YE 2025)</w:t>
            </w:r>
          </w:p>
        </w:tc>
        <w:tc>
          <w:tcPr>
            <w:tcW w:type="dxa" w:w="2592"/>
          </w:tcPr>
          <w:p>
            <w:r/>
            <w:r>
              <w:rPr>
                <w:rFonts w:ascii="Calibri" w:hAnsi="Calibri"/>
                <w:sz w:val="20"/>
              </w:rPr>
              <w:t>$714.6M</w:t>
            </w:r>
          </w:p>
        </w:tc>
        <w:tc>
          <w:tcPr>
            <w:tcW w:type="dxa" w:w="3312"/>
          </w:tcPr>
          <w:p>
            <w:r/>
            <w:r>
              <w:rPr>
                <w:rFonts w:ascii="Calibri" w:hAnsi="Calibri"/>
                <w:sz w:val="20"/>
              </w:rPr>
              <w:t>Plus ~$800M gross potential from 2025 financings</w:t>
            </w:r>
          </w:p>
        </w:tc>
      </w:tr>
      <w:tr>
        <w:tc>
          <w:tcPr>
            <w:tcW w:type="dxa" w:w="3456"/>
          </w:tcPr>
          <w:p>
            <w:r/>
            <w:r>
              <w:rPr>
                <w:rFonts w:ascii="Calibri" w:hAnsi="Calibri"/>
                <w:sz w:val="20"/>
              </w:rPr>
              <w:t>Short interest</w:t>
            </w:r>
          </w:p>
        </w:tc>
        <w:tc>
          <w:tcPr>
            <w:tcW w:type="dxa" w:w="2592"/>
          </w:tcPr>
          <w:p>
            <w:r/>
            <w:r>
              <w:rPr>
                <w:rFonts w:ascii="Calibri" w:hAnsi="Calibri"/>
                <w:sz w:val="20"/>
              </w:rPr>
              <w:t>~13.1%</w:t>
            </w:r>
          </w:p>
        </w:tc>
        <w:tc>
          <w:tcPr>
            <w:tcW w:type="dxa" w:w="3312"/>
          </w:tcPr>
          <w:p>
            <w:r/>
            <w:r>
              <w:rPr>
                <w:rFonts w:ascii="Calibri" w:hAnsi="Calibri"/>
                <w:sz w:val="20"/>
              </w:rPr>
              <w:t>Elevated; meaningful squeeze potential on approval</w:t>
            </w:r>
          </w:p>
        </w:tc>
      </w:tr>
      <w:tr>
        <w:tc>
          <w:tcPr>
            <w:tcW w:type="dxa" w:w="3456"/>
          </w:tcPr>
          <w:p>
            <w:r/>
            <w:r>
              <w:rPr>
                <w:rFonts w:ascii="Calibri" w:hAnsi="Calibri"/>
                <w:sz w:val="20"/>
              </w:rPr>
              <w:t>Deep Track 13G</w:t>
            </w:r>
          </w:p>
        </w:tc>
        <w:tc>
          <w:tcPr>
            <w:tcW w:type="dxa" w:w="2592"/>
          </w:tcPr>
          <w:p>
            <w:r/>
            <w:r>
              <w:rPr>
                <w:rFonts w:ascii="Calibri" w:hAnsi="Calibri"/>
                <w:sz w:val="20"/>
              </w:rPr>
              <w:t>3.92M shares (~5.5%, ~$176M)</w:t>
            </w:r>
          </w:p>
        </w:tc>
        <w:tc>
          <w:tcPr>
            <w:tcW w:type="dxa" w:w="3312"/>
          </w:tcPr>
          <w:p>
            <w:r/>
            <w:r>
              <w:rPr>
                <w:rFonts w:ascii="Calibri" w:hAnsi="Calibri"/>
                <w:sz w:val="20"/>
              </w:rPr>
              <w:t>March 2026 — biotech specialist conviction</w:t>
            </w:r>
          </w:p>
        </w:tc>
      </w:tr>
      <w:tr>
        <w:tc>
          <w:tcPr>
            <w:tcW w:type="dxa" w:w="3456"/>
          </w:tcPr>
          <w:p>
            <w:r/>
            <w:r>
              <w:rPr>
                <w:rFonts w:ascii="Calibri" w:hAnsi="Calibri"/>
                <w:sz w:val="20"/>
              </w:rPr>
              <w:t>Point72 13G</w:t>
            </w:r>
          </w:p>
        </w:tc>
        <w:tc>
          <w:tcPr>
            <w:tcW w:type="dxa" w:w="2592"/>
          </w:tcPr>
          <w:p>
            <w:r/>
            <w:r>
              <w:rPr>
                <w:rFonts w:ascii="Calibri" w:hAnsi="Calibri"/>
                <w:sz w:val="20"/>
              </w:rPr>
              <w:t>1.23M shares (~$55M)</w:t>
            </w:r>
          </w:p>
        </w:tc>
        <w:tc>
          <w:tcPr>
            <w:tcW w:type="dxa" w:w="3312"/>
          </w:tcPr>
          <w:p>
            <w:r/>
            <w:r>
              <w:rPr>
                <w:rFonts w:ascii="Calibri" w:hAnsi="Calibri"/>
                <w:sz w:val="20"/>
              </w:rPr>
              <w:t>April 2026 — new position</w:t>
            </w:r>
          </w:p>
        </w:tc>
      </w:tr>
      <w:tr>
        <w:tc>
          <w:tcPr>
            <w:tcW w:type="dxa" w:w="3456"/>
          </w:tcPr>
          <w:p>
            <w:r/>
            <w:r>
              <w:rPr>
                <w:rFonts w:ascii="Calibri" w:hAnsi="Calibri"/>
                <w:sz w:val="20"/>
              </w:rPr>
              <w:t>Inducement grants (8 Apr 2026)</w:t>
            </w:r>
          </w:p>
        </w:tc>
        <w:tc>
          <w:tcPr>
            <w:tcW w:type="dxa" w:w="2592"/>
          </w:tcPr>
          <w:p>
            <w:r/>
            <w:r>
              <w:rPr>
                <w:rFonts w:ascii="Calibri" w:hAnsi="Calibri"/>
                <w:sz w:val="20"/>
              </w:rPr>
              <w:t>89 new employees, 258,200 options + 131,925 RSUs</w:t>
            </w:r>
          </w:p>
        </w:tc>
        <w:tc>
          <w:tcPr>
            <w:tcW w:type="dxa" w:w="3312"/>
          </w:tcPr>
          <w:p>
            <w:r/>
            <w:r>
              <w:rPr>
                <w:rFonts w:ascii="Calibri" w:hAnsi="Calibri"/>
                <w:sz w:val="20"/>
              </w:rPr>
              <w:t>Commercial buildout signal</w:t>
            </w:r>
          </w:p>
        </w:tc>
      </w:tr>
      <w:tr>
        <w:tc>
          <w:tcPr>
            <w:tcW w:type="dxa" w:w="3456"/>
          </w:tcPr>
          <w:p>
            <w:r/>
            <w:r>
              <w:rPr>
                <w:rFonts w:ascii="Calibri" w:hAnsi="Calibri"/>
                <w:sz w:val="20"/>
              </w:rPr>
              <w:t>Investment score (internal, 7-dim)</w:t>
            </w:r>
          </w:p>
        </w:tc>
        <w:tc>
          <w:tcPr>
            <w:tcW w:type="dxa" w:w="2592"/>
          </w:tcPr>
          <w:p>
            <w:r/>
            <w:r>
              <w:rPr>
                <w:rFonts w:ascii="Calibri" w:hAnsi="Calibri"/>
                <w:sz w:val="20"/>
              </w:rPr>
              <w:t>30.5 / 42.5</w:t>
            </w:r>
          </w:p>
        </w:tc>
        <w:tc>
          <w:tcPr>
            <w:tcW w:type="dxa" w:w="3312"/>
          </w:tcPr>
          <w:p>
            <w:r/>
            <w:r>
              <w:rPr>
                <w:rFonts w:ascii="Calibri" w:hAnsi="Calibri"/>
                <w:sz w:val="20"/>
              </w:rPr>
              <w:t>Above 28 active-candidate threshold</w:t>
            </w:r>
          </w:p>
        </w:tc>
      </w:tr>
    </w:tbl>
    <w:p>
      <w:pPr>
        <w:spacing w:before="240" w:after="80" w:line="276" w:lineRule="auto"/>
      </w:pPr>
      <w:r>
        <w:rPr>
          <w:rFonts w:ascii="Calibri" w:hAnsi="Calibri"/>
          <w:b/>
          <w:sz w:val="28"/>
        </w:rPr>
        <w:t>The Asymmetry</w:t>
      </w:r>
    </w:p>
    <w:p>
      <w:pPr>
        <w:spacing w:line="276" w:lineRule="auto"/>
        <w:jc w:val="both"/>
      </w:pPr>
      <w:r>
        <w:rPr>
          <w:rFonts w:ascii="Calibri" w:hAnsi="Calibri"/>
          <w:b/>
          <w:sz w:val="22"/>
        </w:rPr>
        <w:t xml:space="preserve">Base case (~70%): Approval on 7 July 2026 with a broad label (all-comers adult IgAN, not restricted to post-SoC failure). </w:t>
      </w:r>
      <w:r>
        <w:rPr>
          <w:rFonts w:ascii="Calibri" w:hAnsi="Calibri"/>
          <w:sz w:val="22"/>
        </w:rPr>
        <w:t>Stock re-rates toward the $60–$72 range as the market reprices the commercial opportunity against the sibeprenlimab anchor. That is roughly +35% to +60% from the 10 April close.</w:t>
      </w:r>
    </w:p>
    <w:p>
      <w:pPr>
        <w:spacing w:line="276" w:lineRule="auto"/>
        <w:jc w:val="both"/>
      </w:pPr>
      <w:r>
        <w:rPr>
          <w:rFonts w:ascii="Calibri" w:hAnsi="Calibri"/>
          <w:b/>
          <w:sz w:val="22"/>
        </w:rPr>
        <w:t xml:space="preserve">Bull case (~15%): Approval with a label as broad as or broader than sibeprenlimab, Deep Track or equivalent institutional holder increases position post-approval, and/or M&amp;A premium materializes given Hite's board seat. </w:t>
      </w:r>
      <w:r>
        <w:rPr>
          <w:rFonts w:ascii="Calibri" w:hAnsi="Calibri"/>
          <w:sz w:val="22"/>
        </w:rPr>
        <w:t>Stock trades to $80–$95 (Wolfe's $88 PT is in this range). Roughly +80% to +110%.</w:t>
      </w:r>
    </w:p>
    <w:p>
      <w:pPr>
        <w:spacing w:line="276" w:lineRule="auto"/>
        <w:jc w:val="both"/>
      </w:pPr>
      <w:r>
        <w:rPr>
          <w:rFonts w:ascii="Calibri" w:hAnsi="Calibri"/>
          <w:b/>
          <w:sz w:val="22"/>
        </w:rPr>
        <w:t xml:space="preserve">Bear case (~15%): CRL, major label restriction (e.g., post-SoC failure only), or an unexpected safety amendment resulting in PDUFA extension. </w:t>
      </w:r>
      <w:r>
        <w:rPr>
          <w:rFonts w:ascii="Calibri" w:hAnsi="Calibri"/>
          <w:sz w:val="22"/>
        </w:rPr>
        <w:t>Stock compresses to $24–$32 on a CRL, roughly -30% to -45%. A narrow-label approval is estimated at -10% to -20% as the market weighs restricted peak sales against the approval premium.</w:t>
      </w:r>
    </w:p>
    <w:p>
      <w:pPr>
        <w:spacing w:line="276" w:lineRule="auto"/>
        <w:jc w:val="both"/>
      </w:pPr>
      <w:r>
        <w:rPr>
          <w:rFonts w:ascii="Calibri" w:hAnsi="Calibri"/>
          <w:b w:val="0"/>
          <w:i w:val="0"/>
          <w:sz w:val="22"/>
        </w:rPr>
        <w:t>Probability-weighted expected return: approximately +30% to +42% on a volume-weighted basis from the 10 April close, with a meaningfully right-skewed distribution given that the bull-case tail includes both a broad-label print and an M&amp;A optionality leg that the base case does not assume. The skew is the trade.</w:t>
      </w:r>
    </w:p>
    <w:p>
      <w:pPr>
        <w:spacing w:before="240" w:after="80" w:line="276" w:lineRule="auto"/>
      </w:pPr>
      <w:r>
        <w:rPr>
          <w:rFonts w:ascii="Calibri" w:hAnsi="Calibri"/>
          <w:b/>
          <w:sz w:val="28"/>
        </w:rPr>
        <w:t>Recommendation</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Buy — high conviction.</w:t>
            </w:r>
          </w:p>
          <w:p>
            <w:pPr>
              <w:jc w:val="both"/>
            </w:pPr>
            <w:r>
              <w:rPr>
                <w:rFonts w:ascii="Calibri" w:hAnsi="Calibri"/>
                <w:sz w:val="22"/>
              </w:rPr>
              <w:t>Position equity long into the 7 July 2026 PDUFA, with sizing at the upper end of a satellite band (3–6% of risk budget). Dual BAFF+APRIL mechanism is genuine differentiation on top of a dataset that is already best-in-class on the surrogate endpoint. The commercial-positioning gap the market is pricing is the edge. Sibeprenlimab's approved-at-premium pricing is the backstop, not the competitor. Entry staged: 60% immediately, 25% into any drawdown before 7 June (T-30), 15% held for a pre-catalyst tape-read. Full risk decomposition, hedged and options-only variants in Appendix A.9.</w:t>
            </w:r>
          </w:p>
        </w:tc>
      </w:tr>
    </w:tbl>
    <w:p>
      <w:pPr>
        <w:spacing w:line="276" w:lineRule="auto"/>
        <w:jc w:val="both"/>
      </w:pPr>
      <w:r>
        <w:rPr>
          <w:rFonts w:ascii="Calibri" w:hAnsi="Calibri"/>
          <w:b w:val="0"/>
          <w:i/>
          <w:sz w:val="22"/>
        </w:rPr>
        <w:t>Full thesis, clinical detail, risk decomposition, commercial model, and sourcing in the Appendix that follows.</w:t>
      </w:r>
    </w:p>
    <w:p>
      <w:pPr>
        <w:spacing w:line="276" w:lineRule="auto"/>
      </w:pPr>
      <w:r>
        <w:br w:type="page"/>
      </w:r>
    </w:p>
    <w:p>
      <w:pPr>
        <w:spacing w:line="276" w:lineRule="auto"/>
      </w:pPr>
      <w:r>
        <w:rPr>
          <w:rFonts w:ascii="Calibri" w:hAnsi="Calibri"/>
          <w:b/>
          <w:sz w:val="22"/>
        </w:rPr>
        <w:t>APPENDIX</w:t>
      </w:r>
    </w:p>
    <w:p>
      <w:pPr>
        <w:spacing w:line="276" w:lineRule="auto"/>
      </w:pPr>
      <w:r>
        <w:rPr>
          <w:rFonts w:ascii="Calibri" w:hAnsi="Calibri"/>
          <w:b/>
          <w:sz w:val="44"/>
        </w:rPr>
        <w:t>Full Investment Thesis</w:t>
      </w:r>
    </w:p>
    <w:p>
      <w:pPr>
        <w:spacing w:before="240" w:after="80" w:line="276" w:lineRule="auto"/>
      </w:pPr>
      <w:r>
        <w:rPr>
          <w:rFonts w:ascii="Calibri" w:hAnsi="Calibri"/>
          <w:b/>
          <w:sz w:val="36"/>
        </w:rPr>
        <w:t>A.1  Why Now — The Window Is Closing</w:t>
      </w:r>
    </w:p>
    <w:p>
      <w:pPr>
        <w:spacing w:line="276" w:lineRule="auto"/>
        <w:jc w:val="both"/>
      </w:pPr>
      <w:r>
        <w:rPr>
          <w:rFonts w:ascii="Calibri" w:hAnsi="Calibri"/>
          <w:b w:val="0"/>
          <w:i w:val="0"/>
          <w:sz w:val="22"/>
        </w:rPr>
        <w:t>The PDUFA target action date is 7 July 2026. From today (14 April 2026), that is 84 calendar days and roughly 60 trading sessions. The window in which a directional thesis is actionable without being either too early (capital tied up through summer earnings season) or too late (catalyst already in the tape) is narrower than that. The edge — such as it is — has three decay drivers.</w:t>
      </w:r>
    </w:p>
    <w:p>
      <w:pPr>
        <w:spacing w:line="276" w:lineRule="auto"/>
        <w:jc w:val="both"/>
      </w:pPr>
      <w:r>
        <w:rPr>
          <w:rFonts w:ascii="Calibri" w:hAnsi="Calibri"/>
          <w:b w:val="0"/>
          <w:i w:val="0"/>
          <w:sz w:val="22"/>
        </w:rPr>
        <w:t>First, sell-side anchoring. Ten covering analysts currently rate VERA a collective Buy (per public Mar 2026 data), but the sell-side price target dispersion is wide. Wolfe Research at $88 is pricing commercial upside and mechanistic differentiation; more conservative shops cluster in the $50–$60 range, pricing mostly the binary approval event. Each week that passes without an adverse FDA communication compresses that dispersion upward. The cheap stock is available now; it will not be available at T-10 unless a risk-off event reprices biotech broadly.</w:t>
      </w:r>
    </w:p>
    <w:p>
      <w:pPr>
        <w:spacing w:line="276" w:lineRule="auto"/>
        <w:jc w:val="both"/>
      </w:pPr>
      <w:r>
        <w:rPr>
          <w:rFonts w:ascii="Calibri" w:hAnsi="Calibri"/>
          <w:b w:val="0"/>
          <w:i w:val="0"/>
          <w:sz w:val="22"/>
        </w:rPr>
        <w:t>Second, mechanism-of-action narrative. Sibeprenlimab's approval on 25 November 2025 was followed by a dedicated ISN 2026 World Congress session (March 2026) with fresh efficacy and safety data. Every incremental KOL presentation in the next 80 days — at ERA in June, at specific nephrology centers of excellence — will either confirm the dual-mechanism story or dilute it. This is not a pure regulatory trade. It is a regulatory trade with a 60-day narrative overlay, and the narrative is currently moving toward atacicept.</w:t>
      </w:r>
    </w:p>
    <w:p>
      <w:pPr>
        <w:spacing w:line="276" w:lineRule="auto"/>
        <w:jc w:val="both"/>
      </w:pPr>
      <w:r>
        <w:rPr>
          <w:rFonts w:ascii="Calibri" w:hAnsi="Calibri"/>
          <w:b w:val="0"/>
          <w:i w:val="0"/>
          <w:sz w:val="22"/>
        </w:rPr>
        <w:t>Third, supply. 71.7M shares outstanding, ~13.1% short interest, and two recent 5%+ institutional filings (Deep Track, Point72) have removed a meaningful chunk of the effective float. Inducement grants over the last 60 days added another 390k shares of commercial-team alignment. If the approval prints as expected, the squeeze math is real.</w:t>
      </w:r>
    </w:p>
    <w:p>
      <w:pPr>
        <w:spacing w:line="276" w:lineRule="auto"/>
        <w:jc w:val="both"/>
      </w:pPr>
      <w:r>
        <w:rPr>
          <w:rFonts w:ascii="Calibri" w:hAnsi="Calibri"/>
          <w:b/>
          <w:i w:val="0"/>
          <w:sz w:val="22"/>
        </w:rPr>
        <w:t>Practical implications of the timing:</w:t>
      </w:r>
    </w:p>
    <w:p>
      <w:pPr>
        <w:pStyle w:val="ListNumber"/>
        <w:spacing w:line="276" w:lineRule="auto"/>
        <w:jc w:val="both"/>
      </w:pPr>
      <w:r>
        <w:rPr>
          <w:rFonts w:ascii="Calibri" w:hAnsi="Calibri"/>
          <w:sz w:val="22"/>
        </w:rPr>
        <w:t>Entry should be staged 60/25/15 across today, T-30, and T-5 rather than lump-sum to manage intra-window narrative risk.</w:t>
      </w:r>
    </w:p>
    <w:p>
      <w:pPr>
        <w:pStyle w:val="ListNumber"/>
        <w:spacing w:line="276" w:lineRule="auto"/>
        <w:jc w:val="both"/>
      </w:pPr>
      <w:r>
        <w:rPr>
          <w:rFonts w:ascii="Calibri" w:hAnsi="Calibri"/>
          <w:sz w:val="22"/>
        </w:rPr>
        <w:t>Kill triggers (A.8) must be checked daily from T-21 (~16 June) forward. The cost of a missed CRL scenario dominates the cost of an over-cautious exit.</w:t>
      </w:r>
    </w:p>
    <w:p>
      <w:pPr>
        <w:pStyle w:val="ListNumber"/>
        <w:spacing w:line="276" w:lineRule="auto"/>
        <w:jc w:val="both"/>
      </w:pPr>
      <w:r>
        <w:rPr>
          <w:rFonts w:ascii="Calibri" w:hAnsi="Calibri"/>
          <w:sz w:val="22"/>
        </w:rPr>
        <w:t>Options hedging (put overwrite) becomes most efficient roughly T-30 to T-14 as IV skew steepens; earlier is expensive, later is too tight.</w:t>
      </w:r>
    </w:p>
    <w:p>
      <w:pPr>
        <w:pStyle w:val="ListNumber"/>
        <w:spacing w:line="276" w:lineRule="auto"/>
        <w:jc w:val="both"/>
      </w:pPr>
      <w:r>
        <w:rPr>
          <w:rFonts w:ascii="Calibri" w:hAnsi="Calibri"/>
          <w:sz w:val="22"/>
        </w:rPr>
        <w:t>Any FDA Type A/C meeting communication, information request escalation, or AdCom convening announcement between now and 7 July is a forced-exit event. Primary source: SEC EDGAR 8-K monitoring.</w:t>
      </w:r>
    </w:p>
    <w:p>
      <w:pPr>
        <w:spacing w:before="240" w:after="80" w:line="276" w:lineRule="auto"/>
      </w:pPr>
      <w:r>
        <w:rPr>
          <w:rFonts w:ascii="Calibri" w:hAnsi="Calibri"/>
          <w:b/>
          <w:sz w:val="36"/>
        </w:rPr>
        <w:t>A.2  The Company — A Single-Asset Kidney-Disease Platform With Pipeline Optionality</w:t>
      </w:r>
    </w:p>
    <w:p>
      <w:pPr>
        <w:spacing w:line="276" w:lineRule="auto"/>
        <w:jc w:val="both"/>
      </w:pPr>
      <w:r>
        <w:rPr>
          <w:rFonts w:ascii="Calibri" w:hAnsi="Calibri"/>
          <w:b w:val="0"/>
          <w:i w:val="0"/>
          <w:sz w:val="22"/>
        </w:rPr>
        <w:t>Vera Therapeutics (Nasdaq: VERA) is a late-stage biotechnology company headquartered in Brisbane, California, built around a single asset, atacicept, licensed from Merck KGaA in 2020 after that sponsor deprioritized the program in lupus and multiple sclerosis. Vera re-positioned atacicept on IgA Nephropathy — a disease where the underlying B-cell biology (BAFF and APRIL driving Gd-IgA1 production) is cleaner than in lupus — and ran the ORIGIN Phase 3 program.</w:t>
      </w:r>
    </w:p>
    <w:p>
      <w:pPr>
        <w:spacing w:line="276" w:lineRule="auto"/>
        <w:jc w:val="both"/>
      </w:pPr>
      <w:r>
        <w:rPr>
          <w:rFonts w:ascii="Calibri" w:hAnsi="Calibri"/>
          <w:b w:val="0"/>
          <w:i w:val="0"/>
          <w:sz w:val="22"/>
        </w:rPr>
        <w:t>Vera is pre-revenue. Cash at year-end 2025 stood at $714.6M, augmented by ~$800M gross potential from 2025-era financings per company disclosures. That balance sheet funds a commercial launch through mid-2027 and provides capacity to initiate indication-expansion trials (lupus nephritis, APRIL-driven membranous nephropathy) without near-term dilution dependence on the catalyst print.</w:t>
      </w:r>
    </w:p>
    <w:p>
      <w:pPr>
        <w:spacing w:line="276" w:lineRule="auto"/>
        <w:jc w:val="both"/>
      </w:pPr>
      <w:r>
        <w:rPr>
          <w:rFonts w:ascii="Calibri" w:hAnsi="Calibri"/>
          <w:b/>
          <w:i w:val="0"/>
          <w:sz w:val="22"/>
        </w:rPr>
        <w:t>Pipeline and strategic optionality:</w:t>
      </w:r>
    </w:p>
    <w:p>
      <w:pPr>
        <w:pStyle w:val="ListBullet"/>
        <w:spacing w:line="276" w:lineRule="auto"/>
        <w:jc w:val="both"/>
      </w:pPr>
      <w:r>
        <w:rPr>
          <w:rFonts w:ascii="Calibri" w:hAnsi="Calibri"/>
          <w:sz w:val="22"/>
        </w:rPr>
        <w:t>Atacicept — IgAN, PDUFA 7 July 2026 (the asset).</w:t>
      </w:r>
    </w:p>
    <w:p>
      <w:pPr>
        <w:pStyle w:val="ListBullet"/>
        <w:spacing w:line="276" w:lineRule="auto"/>
        <w:jc w:val="both"/>
      </w:pPr>
      <w:r>
        <w:rPr>
          <w:rFonts w:ascii="Calibri" w:hAnsi="Calibri"/>
          <w:sz w:val="22"/>
        </w:rPr>
        <w:t>Atacicept — lupus nephritis (Phase 2b PIONEER initial results expected H1 2026). If positive, the upstream BAFF+APRIL platform read-across strengthens; if negative, the thesis narrows back to IgAN but is not damaged.</w:t>
      </w:r>
    </w:p>
    <w:p>
      <w:pPr>
        <w:pStyle w:val="ListBullet"/>
        <w:spacing w:line="276" w:lineRule="auto"/>
        <w:jc w:val="both"/>
      </w:pPr>
      <w:r>
        <w:rPr>
          <w:rFonts w:ascii="Calibri" w:hAnsi="Calibri"/>
          <w:sz w:val="22"/>
        </w:rPr>
        <w:t>Atacicept — APRIL-driven membranous nephropathy and other B-cell glomerular indications. Strategic-intent rather than dated programs.</w:t>
      </w:r>
    </w:p>
    <w:p>
      <w:pPr>
        <w:pStyle w:val="ListBullet"/>
        <w:spacing w:line="276" w:lineRule="auto"/>
        <w:jc w:val="both"/>
      </w:pPr>
      <w:r>
        <w:rPr>
          <w:rFonts w:ascii="Calibri" w:hAnsi="Calibri"/>
          <w:sz w:val="22"/>
        </w:rPr>
        <w:t>M&amp;A optionality — Christopher Hite's 5 March 2026 board appointment (former Citi biotech M&amp;A head) is historically associated with sponsors positioning for strategic outcomes. Not a guarantee; a tell.</w:t>
      </w:r>
    </w:p>
    <w:p>
      <w:pPr>
        <w:spacing w:line="276" w:lineRule="auto"/>
        <w:jc w:val="both"/>
      </w:pPr>
      <w:r>
        <w:rPr>
          <w:rFonts w:ascii="Calibri" w:hAnsi="Calibri"/>
          <w:b w:val="0"/>
          <w:i w:val="0"/>
          <w:sz w:val="22"/>
        </w:rPr>
        <w:t>Strategic implication: this is a single-asset bet today and a platform bet 12 months from now. The thesis values only the IgAN approval case. Everything beyond is optionality the market is not pricing and should not be underwritten in sizing.</w:t>
      </w:r>
    </w:p>
    <w:p>
      <w:pPr>
        <w:spacing w:before="240" w:after="80" w:line="276" w:lineRule="auto"/>
      </w:pPr>
      <w:r>
        <w:rPr>
          <w:rFonts w:ascii="Calibri" w:hAnsi="Calibri"/>
          <w:b/>
          <w:sz w:val="36"/>
        </w:rPr>
        <w:t>A.3  The Catalyst — An Upstream-Mechanism Opportunity in a Pathway-Diverse Market</w:t>
      </w:r>
    </w:p>
    <w:p>
      <w:pPr>
        <w:spacing w:line="276" w:lineRule="auto"/>
        <w:jc w:val="both"/>
      </w:pPr>
      <w:r>
        <w:rPr>
          <w:rFonts w:ascii="Calibri" w:hAnsi="Calibri"/>
          <w:b w:val="0"/>
          <w:i w:val="0"/>
          <w:sz w:val="22"/>
        </w:rPr>
        <w:t>The catalyst is the 7 July 2026 PDUFA target action date for the atacicept IgAN BLA, accepted for Priority Review on 7 January 2026 via the Accelerated Approval Program, on the basis of ORIGIN's 36-week interim proteinuria data. Approval would make atacicept the first dual BAFF+APRIL inhibitor approved in any indication in the US.</w:t>
      </w:r>
    </w:p>
    <w:p>
      <w:pPr>
        <w:spacing w:line="276" w:lineRule="auto"/>
        <w:jc w:val="both"/>
      </w:pPr>
      <w:r>
        <w:rPr>
          <w:rFonts w:ascii="Calibri" w:hAnsi="Calibri"/>
          <w:b w:val="0"/>
          <w:i w:val="0"/>
          <w:sz w:val="22"/>
        </w:rPr>
        <w:t>The commercial backdrop. Five IgAN therapies are FDA-approved entering 2026: Tarpeyo (targeted-release budesonide), Filspari (sparsentan, dual ET-A/AT1 antagonist), Fabhalta (iptacopan, complement factor B inhibitor), Vanrafia (atrasentan, ET-A antagonist), and VOYXACT (sibeprenlimab, anti-APRIL mAb; approved 25 November 2025). Market sizing studies (DelveInsight, Future Market Insights, iHealthcareAnalyst) put the 2026 US IgAN treatment market at roughly $1.76 billion with CAGR near 14% through 2035 as the diagnosed prevalent pool (~200,000 US patients in 2021, growing) is increasingly treated with disease-modifying biologics rather than supportive care alone.</w:t>
      </w:r>
    </w:p>
    <w:p>
      <w:pPr>
        <w:spacing w:line="276" w:lineRule="auto"/>
        <w:jc w:val="both"/>
      </w:pPr>
      <w:r>
        <w:rPr>
          <w:rFonts w:ascii="Calibri" w:hAnsi="Calibri"/>
          <w:b w:val="0"/>
          <w:i w:val="0"/>
          <w:sz w:val="22"/>
        </w:rPr>
        <w:t>The market narrative is that the field is now crowded and atacicept is a late entrant. The mechanistic reality is that most of the approved pool operates in orthogonal pathways (renin-angiotensin-endothelin for Filspari/Vanrafia, complement for Fabhalta, steroid for Tarpeyo). The only direct mechanistic competitor is VOYXACT — and that single competitor's existence is what makes the pricing corridor analyzable and the commercial case tractable.</w:t>
      </w:r>
    </w:p>
    <w:p>
      <w:pPr>
        <w:spacing w:line="276" w:lineRule="auto"/>
        <w:jc w:val="both"/>
      </w:pPr>
      <w:r>
        <w:rPr>
          <w:rFonts w:ascii="Calibri" w:hAnsi="Calibri"/>
          <w:b/>
          <w:i w:val="0"/>
          <w:sz w:val="22"/>
        </w:rPr>
        <w:t>Stale-anchor vs actual-epidemiology framing:</w:t>
      </w:r>
    </w:p>
    <w:tbl>
      <w:tblPr>
        <w:tblStyle w:val="TableGrid"/>
        <w:tblW w:type="auto" w:w="0"/>
        <w:tblLook w:firstColumn="1" w:firstRow="1" w:lastColumn="0" w:lastRow="0" w:noHBand="0" w:noVBand="1" w:val="04A0"/>
      </w:tblPr>
      <w:tblGrid>
        <w:gridCol w:w="3120"/>
        <w:gridCol w:w="3120"/>
        <w:gridCol w:w="3120"/>
      </w:tblGrid>
      <w:tr>
        <w:tc>
          <w:tcPr>
            <w:tcW w:type="dxa" w:w="2736"/>
            <w:shd w:val="clear" w:color="auto" w:fill="D9D9D9"/>
          </w:tcPr>
          <w:p>
            <w:r/>
            <w:r>
              <w:rPr>
                <w:rFonts w:ascii="Calibri" w:hAnsi="Calibri"/>
                <w:b/>
                <w:sz w:val="20"/>
              </w:rPr>
              <w:t>Anchor</w:t>
            </w:r>
          </w:p>
        </w:tc>
        <w:tc>
          <w:tcPr>
            <w:tcW w:type="dxa" w:w="3312"/>
            <w:shd w:val="clear" w:color="auto" w:fill="D9D9D9"/>
          </w:tcPr>
          <w:p>
            <w:r/>
            <w:r>
              <w:rPr>
                <w:rFonts w:ascii="Calibri" w:hAnsi="Calibri"/>
                <w:b/>
                <w:sz w:val="20"/>
              </w:rPr>
              <w:t>Assumption</w:t>
            </w:r>
          </w:p>
        </w:tc>
        <w:tc>
          <w:tcPr>
            <w:tcW w:type="dxa" w:w="3312"/>
            <w:shd w:val="clear" w:color="auto" w:fill="D9D9D9"/>
          </w:tcPr>
          <w:p>
            <w:r/>
            <w:r>
              <w:rPr>
                <w:rFonts w:ascii="Calibri" w:hAnsi="Calibri"/>
                <w:b/>
                <w:sz w:val="20"/>
              </w:rPr>
              <w:t>Reality (2026)</w:t>
            </w:r>
          </w:p>
        </w:tc>
      </w:tr>
      <w:tr>
        <w:tc>
          <w:tcPr>
            <w:tcW w:type="dxa" w:w="2736"/>
          </w:tcPr>
          <w:p>
            <w:r/>
            <w:r>
              <w:rPr>
                <w:rFonts w:ascii="Calibri" w:hAnsi="Calibri"/>
                <w:sz w:val="20"/>
              </w:rPr>
              <w:t>Sell-side consensus peak sales (risk-adjusted)</w:t>
            </w:r>
          </w:p>
        </w:tc>
        <w:tc>
          <w:tcPr>
            <w:tcW w:type="dxa" w:w="3312"/>
          </w:tcPr>
          <w:p>
            <w:r/>
            <w:r>
              <w:rPr>
                <w:rFonts w:ascii="Calibri" w:hAnsi="Calibri"/>
                <w:sz w:val="20"/>
              </w:rPr>
              <w:t>~$500–700M atacicept peak, assuming 3rd or 4th-line use</w:t>
            </w:r>
          </w:p>
        </w:tc>
        <w:tc>
          <w:tcPr>
            <w:tcW w:type="dxa" w:w="3312"/>
          </w:tcPr>
          <w:p>
            <w:r/>
            <w:r>
              <w:rPr>
                <w:rFonts w:ascii="Calibri" w:hAnsi="Calibri"/>
                <w:sz w:val="20"/>
              </w:rPr>
              <w:t>Ignores that in nephrology, proteinuria-effect magnitude drives KOL preference; ORIGIN leads the class on placebo-adjusted proteinuria and is uniquely complete on Gd-IgA1 + hematuria.</w:t>
            </w:r>
          </w:p>
        </w:tc>
      </w:tr>
      <w:tr>
        <w:tc>
          <w:tcPr>
            <w:tcW w:type="dxa" w:w="2736"/>
          </w:tcPr>
          <w:p>
            <w:r/>
            <w:r>
              <w:rPr>
                <w:rFonts w:ascii="Calibri" w:hAnsi="Calibri"/>
                <w:sz w:val="20"/>
              </w:rPr>
              <w:t>Pricing ceiling</w:t>
            </w:r>
          </w:p>
        </w:tc>
        <w:tc>
          <w:tcPr>
            <w:tcW w:type="dxa" w:w="3312"/>
          </w:tcPr>
          <w:p>
            <w:r/>
            <w:r>
              <w:rPr>
                <w:rFonts w:ascii="Calibri" w:hAnsi="Calibri"/>
                <w:sz w:val="20"/>
              </w:rPr>
              <w:t>Biosimilar/generic pressure on crowded fields drives net price compression</w:t>
            </w:r>
          </w:p>
        </w:tc>
        <w:tc>
          <w:tcPr>
            <w:tcW w:type="dxa" w:w="3312"/>
          </w:tcPr>
          <w:p>
            <w:r/>
            <w:r>
              <w:rPr>
                <w:rFonts w:ascii="Calibri" w:hAnsi="Calibri"/>
                <w:sz w:val="20"/>
              </w:rPr>
              <w:t>Sibeprenlimab approved Nov 2025 at $292,500/yr net. That is the floor of the pricing corridor for upstream B-cell-pathway biologics in IgAN.</w:t>
            </w:r>
          </w:p>
        </w:tc>
      </w:tr>
      <w:tr>
        <w:tc>
          <w:tcPr>
            <w:tcW w:type="dxa" w:w="2736"/>
          </w:tcPr>
          <w:p>
            <w:r/>
            <w:r>
              <w:rPr>
                <w:rFonts w:ascii="Calibri" w:hAnsi="Calibri"/>
                <w:sz w:val="20"/>
              </w:rPr>
              <w:t>Market concentration</w:t>
            </w:r>
          </w:p>
        </w:tc>
        <w:tc>
          <w:tcPr>
            <w:tcW w:type="dxa" w:w="3312"/>
          </w:tcPr>
          <w:p>
            <w:r/>
            <w:r>
              <w:rPr>
                <w:rFonts w:ascii="Calibri" w:hAnsi="Calibri"/>
                <w:sz w:val="20"/>
              </w:rPr>
              <w:t>First mover in mechanism takes and holds share</w:t>
            </w:r>
          </w:p>
        </w:tc>
        <w:tc>
          <w:tcPr>
            <w:tcW w:type="dxa" w:w="3312"/>
          </w:tcPr>
          <w:p>
            <w:r/>
            <w:r>
              <w:rPr>
                <w:rFonts w:ascii="Calibri" w:hAnsi="Calibri"/>
                <w:sz w:val="20"/>
              </w:rPr>
              <w:t>Nephrology prescribing patterns layer adjunctive therapies; RAASi + endothelin + budesonide + B-cell biologic is a plausible sequence. Atacicept does not need to displace sibeprenlimab to reach its peak-sales model.</w:t>
            </w:r>
          </w:p>
        </w:tc>
      </w:tr>
      <w:tr>
        <w:tc>
          <w:tcPr>
            <w:tcW w:type="dxa" w:w="2736"/>
          </w:tcPr>
          <w:p>
            <w:r/>
            <w:r>
              <w:rPr>
                <w:rFonts w:ascii="Calibri" w:hAnsi="Calibri"/>
                <w:sz w:val="20"/>
              </w:rPr>
              <w:t>Indication expansion</w:t>
            </w:r>
          </w:p>
        </w:tc>
        <w:tc>
          <w:tcPr>
            <w:tcW w:type="dxa" w:w="3312"/>
          </w:tcPr>
          <w:p>
            <w:r/>
            <w:r>
              <w:rPr>
                <w:rFonts w:ascii="Calibri" w:hAnsi="Calibri"/>
                <w:sz w:val="20"/>
              </w:rPr>
              <w:t>IgAN is the terminal commercial opportunity</w:t>
            </w:r>
          </w:p>
        </w:tc>
        <w:tc>
          <w:tcPr>
            <w:tcW w:type="dxa" w:w="3312"/>
          </w:tcPr>
          <w:p>
            <w:r/>
            <w:r>
              <w:rPr>
                <w:rFonts w:ascii="Calibri" w:hAnsi="Calibri"/>
                <w:sz w:val="20"/>
              </w:rPr>
              <w:t>Lupus nephritis Phase 2 readout (H1 2026) and membranous nephropathy expansion are optionality the market is not currently risking in.</w:t>
            </w:r>
          </w:p>
        </w:tc>
      </w:tr>
    </w:tbl>
    <w:p>
      <w:pPr>
        <w:spacing w:before="240" w:after="80" w:line="276" w:lineRule="auto"/>
      </w:pPr>
      <w:r>
        <w:rPr>
          <w:rFonts w:ascii="Calibri" w:hAnsi="Calibri"/>
          <w:b/>
          <w:sz w:val="36"/>
        </w:rPr>
        <w:t>A.4  The Clinical Case — Reading the ORIGIN Data Precisely</w:t>
      </w:r>
    </w:p>
    <w:p>
      <w:pPr>
        <w:spacing w:line="276" w:lineRule="auto"/>
        <w:jc w:val="both"/>
      </w:pPr>
      <w:r>
        <w:rPr>
          <w:rFonts w:ascii="Calibri" w:hAnsi="Calibri"/>
          <w:b w:val="0"/>
          <w:i w:val="0"/>
          <w:sz w:val="22"/>
        </w:rPr>
        <w:t>ORIGIN 3 is the pivotal Phase 3 trial: N=431 adult IgAN patients on background RAASi, randomized to atacicept 150mg subcutaneous weekly or placebo. The 36-week interim analysis — the basis for the FDA's Accelerated Approval submission — was presented at ASN Kidney Week 2025 in November and published in the New England Journal of Medicine.</w:t>
      </w:r>
    </w:p>
    <w:p>
      <w:pPr>
        <w:spacing w:line="276" w:lineRule="auto"/>
        <w:jc w:val="both"/>
      </w:pPr>
      <w:r>
        <w:rPr>
          <w:rFonts w:ascii="Calibri" w:hAnsi="Calibri"/>
          <w:b/>
          <w:i w:val="0"/>
          <w:sz w:val="22"/>
        </w:rPr>
        <w:t>Primary endpoint and key secondary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3024"/>
            <w:shd w:val="clear" w:color="auto" w:fill="D9D9D9"/>
          </w:tcPr>
          <w:p>
            <w:r/>
            <w:r>
              <w:rPr>
                <w:rFonts w:ascii="Calibri" w:hAnsi="Calibri"/>
                <w:b/>
                <w:sz w:val="20"/>
              </w:rPr>
              <w:t>Endpoint</w:t>
            </w:r>
          </w:p>
        </w:tc>
        <w:tc>
          <w:tcPr>
            <w:tcW w:type="dxa" w:w="2160"/>
            <w:shd w:val="clear" w:color="auto" w:fill="D9D9D9"/>
          </w:tcPr>
          <w:p>
            <w:r/>
            <w:r>
              <w:rPr>
                <w:rFonts w:ascii="Calibri" w:hAnsi="Calibri"/>
                <w:b/>
                <w:sz w:val="20"/>
              </w:rPr>
              <w:t>Atacicept arm</w:t>
            </w:r>
          </w:p>
        </w:tc>
        <w:tc>
          <w:tcPr>
            <w:tcW w:type="dxa" w:w="2016"/>
            <w:shd w:val="clear" w:color="auto" w:fill="D9D9D9"/>
          </w:tcPr>
          <w:p>
            <w:r/>
            <w:r>
              <w:rPr>
                <w:rFonts w:ascii="Calibri" w:hAnsi="Calibri"/>
                <w:b/>
                <w:sz w:val="20"/>
              </w:rPr>
              <w:t>Placebo arm</w:t>
            </w:r>
          </w:p>
        </w:tc>
        <w:tc>
          <w:tcPr>
            <w:tcW w:type="dxa" w:w="2304"/>
            <w:shd w:val="clear" w:color="auto" w:fill="D9D9D9"/>
          </w:tcPr>
          <w:p>
            <w:r/>
            <w:r>
              <w:rPr>
                <w:rFonts w:ascii="Calibri" w:hAnsi="Calibri"/>
                <w:b/>
                <w:sz w:val="20"/>
              </w:rPr>
              <w:t>Effect / p-value</w:t>
            </w:r>
          </w:p>
        </w:tc>
      </w:tr>
      <w:tr>
        <w:tc>
          <w:tcPr>
            <w:tcW w:type="dxa" w:w="3024"/>
          </w:tcPr>
          <w:p>
            <w:r/>
            <w:r>
              <w:rPr>
                <w:rFonts w:ascii="Calibri" w:hAnsi="Calibri"/>
                <w:sz w:val="20"/>
              </w:rPr>
              <w:t>Primary: change in UPCR from baseline at 36w</w:t>
            </w:r>
          </w:p>
        </w:tc>
        <w:tc>
          <w:tcPr>
            <w:tcW w:type="dxa" w:w="2160"/>
          </w:tcPr>
          <w:p>
            <w:r/>
            <w:r>
              <w:rPr>
                <w:rFonts w:ascii="Calibri" w:hAnsi="Calibri"/>
                <w:sz w:val="20"/>
              </w:rPr>
              <w:t>-46% from baseline</w:t>
            </w:r>
          </w:p>
        </w:tc>
        <w:tc>
          <w:tcPr>
            <w:tcW w:type="dxa" w:w="2016"/>
          </w:tcPr>
          <w:p>
            <w:r/>
            <w:r>
              <w:rPr>
                <w:rFonts w:ascii="Calibri" w:hAnsi="Calibri"/>
                <w:sz w:val="20"/>
              </w:rPr>
              <w:t>~-4%</w:t>
            </w:r>
          </w:p>
        </w:tc>
        <w:tc>
          <w:tcPr>
            <w:tcW w:type="dxa" w:w="2304"/>
          </w:tcPr>
          <w:p>
            <w:r/>
            <w:r>
              <w:rPr>
                <w:rFonts w:ascii="Calibri" w:hAnsi="Calibri"/>
                <w:sz w:val="20"/>
              </w:rPr>
              <w:t>42% placebo-adjusted reduction, p&lt;0.0001</w:t>
            </w:r>
          </w:p>
        </w:tc>
      </w:tr>
      <w:tr>
        <w:tc>
          <w:tcPr>
            <w:tcW w:type="dxa" w:w="3024"/>
          </w:tcPr>
          <w:p>
            <w:r/>
            <w:r>
              <w:rPr>
                <w:rFonts w:ascii="Calibri" w:hAnsi="Calibri"/>
                <w:sz w:val="20"/>
              </w:rPr>
              <w:t>Gd-IgA1 level at 36w</w:t>
            </w:r>
          </w:p>
        </w:tc>
        <w:tc>
          <w:tcPr>
            <w:tcW w:type="dxa" w:w="2160"/>
          </w:tcPr>
          <w:p>
            <w:r/>
            <w:r>
              <w:rPr>
                <w:rFonts w:ascii="Calibri" w:hAnsi="Calibri"/>
                <w:sz w:val="20"/>
              </w:rPr>
              <w:t>-68% from baseline</w:t>
            </w:r>
          </w:p>
        </w:tc>
        <w:tc>
          <w:tcPr>
            <w:tcW w:type="dxa" w:w="2016"/>
          </w:tcPr>
          <w:p>
            <w:r/>
            <w:r>
              <w:rPr>
                <w:rFonts w:ascii="Calibri" w:hAnsi="Calibri"/>
                <w:sz w:val="20"/>
              </w:rPr>
              <w:t>minimal change</w:t>
            </w:r>
          </w:p>
        </w:tc>
        <w:tc>
          <w:tcPr>
            <w:tcW w:type="dxa" w:w="2304"/>
          </w:tcPr>
          <w:p>
            <w:r/>
            <w:r>
              <w:rPr>
                <w:rFonts w:ascii="Calibri" w:hAnsi="Calibri"/>
                <w:sz w:val="20"/>
              </w:rPr>
              <w:t>Upstream autoantigen — first class demonstration</w:t>
            </w:r>
          </w:p>
        </w:tc>
      </w:tr>
      <w:tr>
        <w:tc>
          <w:tcPr>
            <w:tcW w:type="dxa" w:w="3024"/>
          </w:tcPr>
          <w:p>
            <w:r/>
            <w:r>
              <w:rPr>
                <w:rFonts w:ascii="Calibri" w:hAnsi="Calibri"/>
                <w:sz w:val="20"/>
              </w:rPr>
              <w:t>Hematuria resolution (baseline hematuria pts)</w:t>
            </w:r>
          </w:p>
        </w:tc>
        <w:tc>
          <w:tcPr>
            <w:tcW w:type="dxa" w:w="2160"/>
          </w:tcPr>
          <w:p>
            <w:r/>
            <w:r>
              <w:rPr>
                <w:rFonts w:ascii="Calibri" w:hAnsi="Calibri"/>
                <w:sz w:val="20"/>
              </w:rPr>
              <w:t>81% resolved</w:t>
            </w:r>
          </w:p>
        </w:tc>
        <w:tc>
          <w:tcPr>
            <w:tcW w:type="dxa" w:w="2016"/>
          </w:tcPr>
          <w:p>
            <w:r/>
            <w:r>
              <w:rPr>
                <w:rFonts w:ascii="Calibri" w:hAnsi="Calibri"/>
                <w:sz w:val="20"/>
              </w:rPr>
              <w:t>Substantially lower</w:t>
            </w:r>
          </w:p>
        </w:tc>
        <w:tc>
          <w:tcPr>
            <w:tcW w:type="dxa" w:w="2304"/>
          </w:tcPr>
          <w:p>
            <w:r/>
            <w:r>
              <w:rPr>
                <w:rFonts w:ascii="Calibri" w:hAnsi="Calibri"/>
                <w:sz w:val="20"/>
              </w:rPr>
              <w:t>Unique among B-cell-pathway IgAN agents</w:t>
            </w:r>
          </w:p>
        </w:tc>
      </w:tr>
      <w:tr>
        <w:tc>
          <w:tcPr>
            <w:tcW w:type="dxa" w:w="3024"/>
          </w:tcPr>
          <w:p>
            <w:r/>
            <w:r>
              <w:rPr>
                <w:rFonts w:ascii="Calibri" w:hAnsi="Calibri"/>
                <w:sz w:val="20"/>
              </w:rPr>
              <w:t>Serious adverse events (full analysis set)</w:t>
            </w:r>
          </w:p>
        </w:tc>
        <w:tc>
          <w:tcPr>
            <w:tcW w:type="dxa" w:w="2160"/>
          </w:tcPr>
          <w:p>
            <w:r/>
            <w:r>
              <w:rPr>
                <w:rFonts w:ascii="Calibri" w:hAnsi="Calibri"/>
                <w:sz w:val="20"/>
              </w:rPr>
              <w:t>1 (0.5%)</w:t>
            </w:r>
          </w:p>
        </w:tc>
        <w:tc>
          <w:tcPr>
            <w:tcW w:type="dxa" w:w="2016"/>
          </w:tcPr>
          <w:p>
            <w:r/>
            <w:r>
              <w:rPr>
                <w:rFonts w:ascii="Calibri" w:hAnsi="Calibri"/>
                <w:sz w:val="20"/>
              </w:rPr>
              <w:t>11 (5%)</w:t>
            </w:r>
          </w:p>
        </w:tc>
        <w:tc>
          <w:tcPr>
            <w:tcW w:type="dxa" w:w="2304"/>
          </w:tcPr>
          <w:p>
            <w:r/>
            <w:r>
              <w:rPr>
                <w:rFonts w:ascii="Calibri" w:hAnsi="Calibri"/>
                <w:sz w:val="20"/>
              </w:rPr>
              <w:t>Numerically favorable SAE profile</w:t>
            </w:r>
          </w:p>
        </w:tc>
      </w:tr>
      <w:tr>
        <w:tc>
          <w:tcPr>
            <w:tcW w:type="dxa" w:w="3024"/>
          </w:tcPr>
          <w:p>
            <w:r/>
            <w:r>
              <w:rPr>
                <w:rFonts w:ascii="Calibri" w:hAnsi="Calibri"/>
                <w:sz w:val="20"/>
              </w:rPr>
              <w:t>Deaths</w:t>
            </w:r>
          </w:p>
        </w:tc>
        <w:tc>
          <w:tcPr>
            <w:tcW w:type="dxa" w:w="2160"/>
          </w:tcPr>
          <w:p>
            <w:r/>
            <w:r>
              <w:rPr>
                <w:rFonts w:ascii="Calibri" w:hAnsi="Calibri"/>
                <w:sz w:val="20"/>
              </w:rPr>
              <w:t>0</w:t>
            </w:r>
          </w:p>
        </w:tc>
        <w:tc>
          <w:tcPr>
            <w:tcW w:type="dxa" w:w="2016"/>
          </w:tcPr>
          <w:p>
            <w:r/>
            <w:r>
              <w:rPr>
                <w:rFonts w:ascii="Calibri" w:hAnsi="Calibri"/>
                <w:sz w:val="20"/>
              </w:rPr>
              <w:t>0</w:t>
            </w:r>
          </w:p>
        </w:tc>
        <w:tc>
          <w:tcPr>
            <w:tcW w:type="dxa" w:w="2304"/>
          </w:tcPr>
          <w:p>
            <w:r/>
            <w:r>
              <w:rPr>
                <w:rFonts w:ascii="Calibri" w:hAnsi="Calibri"/>
                <w:sz w:val="20"/>
              </w:rPr>
              <w:t>No deaths in either arm</w:t>
            </w:r>
          </w:p>
        </w:tc>
      </w:tr>
      <w:tr>
        <w:tc>
          <w:tcPr>
            <w:tcW w:type="dxa" w:w="3024"/>
          </w:tcPr>
          <w:p>
            <w:r/>
            <w:r>
              <w:rPr>
                <w:rFonts w:ascii="Calibri" w:hAnsi="Calibri"/>
                <w:sz w:val="20"/>
              </w:rPr>
              <w:t>Immunosuppression signal</w:t>
            </w:r>
          </w:p>
        </w:tc>
        <w:tc>
          <w:tcPr>
            <w:tcW w:type="dxa" w:w="2160"/>
          </w:tcPr>
          <w:p>
            <w:r/>
            <w:r>
              <w:rPr>
                <w:rFonts w:ascii="Calibri" w:hAnsi="Calibri"/>
                <w:sz w:val="20"/>
              </w:rPr>
              <w:t>None reported</w:t>
            </w:r>
          </w:p>
        </w:tc>
        <w:tc>
          <w:tcPr>
            <w:tcW w:type="dxa" w:w="2016"/>
          </w:tcPr>
          <w:p>
            <w:r/>
            <w:r>
              <w:rPr>
                <w:rFonts w:ascii="Calibri" w:hAnsi="Calibri"/>
                <w:sz w:val="20"/>
              </w:rPr>
              <w:t>n/a</w:t>
            </w:r>
          </w:p>
        </w:tc>
        <w:tc>
          <w:tcPr>
            <w:tcW w:type="dxa" w:w="2304"/>
          </w:tcPr>
          <w:p>
            <w:r/>
            <w:r>
              <w:rPr>
                <w:rFonts w:ascii="Calibri" w:hAnsi="Calibri"/>
                <w:sz w:val="20"/>
              </w:rPr>
              <w:t>Explicitly noted in company and independent review</w:t>
            </w:r>
          </w:p>
        </w:tc>
      </w:tr>
    </w:tbl>
    <w:p>
      <w:pPr>
        <w:spacing w:line="276" w:lineRule="auto"/>
        <w:jc w:val="both"/>
      </w:pPr>
      <w:r>
        <w:rPr>
          <w:rFonts w:ascii="Calibri" w:hAnsi="Calibri"/>
          <w:b w:val="0"/>
          <w:i w:val="0"/>
          <w:sz w:val="22"/>
        </w:rPr>
        <w:t>Statistical reading. The 42% placebo-adjusted proteinuria reduction at 36 weeks is the class-leading effect size for a primary endpoint that FDA has accepted as a reasonably-likely-to-predict-clinical-benefit surrogate for accelerated approval in IgAN. For context, sibeprenlimab's VISIONARY achieved 51% placebo-adjusted proteinuria reduction at nine months; Vanrafia's ALIGN achieved roughly a 36% placebo-adjusted reduction; Filspari's PROTECT approximately 36–44% depending on time point and analysis method. Atacicept sits at or above the class on the AA surrogate, with two additional differentiating readouts (Gd-IgA1, hematuria) no direct competitor has reported.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Statistical reading callout — interpretability of the Gd-IgA1 and hematuria readouts.</w:t>
            </w:r>
          </w:p>
          <w:p>
            <w:pPr>
              <w:jc w:val="both"/>
            </w:pPr>
            <w:r>
              <w:rPr>
                <w:rFonts w:ascii="Calibri" w:hAnsi="Calibri"/>
                <w:sz w:val="22"/>
              </w:rPr>
              <w:t>Gd-IgA1 is the pathogenic autoantigen upstream of the immune-complex deposition that drives IgAN. A 68% reduction is mechanistically coherent with dual BAFF+APRIL inhibition (APRIL drives B-cell class-switching to IgA; BAFF sustains the plasma cells producing Gd-IgA1). Sibeprenlimab, as an APRIL-only inhibitor, would be expected to partially suppress Gd-IgA1; VISIONARY did not report this endpoint with the same prominence. Hematuria — the macroscopic marker of ongoing glomerular inflammation — has been notoriously treatment-resistant in IgAN. The 81% resolution rate is, on its face, the most robust hematuria signal ever reported in a pivotal IgAN trial. Both readouts are secondary endpoints, not primary — they should not be over-credited as independent approvals — but they will drive physician preference in label-agnostic prescribing if the label permits.</w:t>
            </w:r>
          </w:p>
        </w:tc>
      </w:tr>
    </w:tbl>
    <w:p>
      <w:pPr>
        <w:spacing w:line="276" w:lineRule="auto"/>
        <w:jc w:val="both"/>
      </w:pPr>
      <w:r>
        <w:rPr>
          <w:rFonts w:ascii="Calibri" w:hAnsi="Calibri"/>
          <w:b w:val="0"/>
          <w:i w:val="0"/>
          <w:sz w:val="22"/>
        </w:rPr>
        <w:t>Regulatory implication. With Priority Review, Breakthrough Therapy Designation, Accelerated Approval pathway, a published-in-NEJM primary dataset, no AdCom, and no Advisory Committee signal as of 14 April 2026, the probability of approval on or before the PDUFA date is estimated at roughly 85–90%. The asymmetry sits in label breadth (all-comers vs. post-SoC-failure), not in the up-or-down approval binary.</w:t>
      </w:r>
    </w:p>
    <w:p>
      <w:pPr>
        <w:spacing w:before="240" w:after="80" w:line="276" w:lineRule="auto"/>
      </w:pPr>
      <w:r>
        <w:rPr>
          <w:rFonts w:ascii="Calibri" w:hAnsi="Calibri"/>
          <w:b/>
          <w:sz w:val="36"/>
        </w:rPr>
        <w:t>A.5  The Commercial Case — Pricing Math and Launch Execution</w:t>
      </w:r>
    </w:p>
    <w:p>
      <w:pPr>
        <w:spacing w:line="276" w:lineRule="auto"/>
        <w:jc w:val="both"/>
      </w:pPr>
      <w:r>
        <w:rPr>
          <w:rFonts w:ascii="Calibri" w:hAnsi="Calibri"/>
          <w:b w:val="0"/>
          <w:i w:val="0"/>
          <w:sz w:val="22"/>
        </w:rPr>
        <w:t>US IgAN economics. The diagnosed prevalent pool in the US is ~200,000 patients with incident flow of 6–7k new diagnoses annually. The 'at risk for progression' subset — the sibeprenlimab label — is estimated by Guggenheim and AJMC coverage at approximately 60–70% of prevalent cases, or ~130–140k treatable patients. At sibeprenlimab's $292,500 net-of-discount price, every 1% of that pool captured equates to ~$400M annual revenue. Atacicept does not need to be the category leader to justify current enterprise value.</w:t>
      </w:r>
    </w:p>
    <w:p>
      <w:pPr>
        <w:spacing w:line="276" w:lineRule="auto"/>
        <w:jc w:val="both"/>
      </w:pPr>
      <w:r>
        <w:rPr>
          <w:rFonts w:ascii="Calibri" w:hAnsi="Calibri"/>
          <w:b/>
          <w:i w:val="0"/>
          <w:sz w:val="22"/>
        </w:rPr>
        <w:t>Pricing corridor:</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D9D9D9"/>
          </w:tcPr>
          <w:p>
            <w:r/>
            <w:r>
              <w:rPr>
                <w:rFonts w:ascii="Calibri" w:hAnsi="Calibri"/>
                <w:b/>
                <w:sz w:val="20"/>
              </w:rPr>
              <w:t>Scenario</w:t>
            </w:r>
          </w:p>
        </w:tc>
        <w:tc>
          <w:tcPr>
            <w:tcW w:type="dxa" w:w="2448"/>
            <w:shd w:val="clear" w:color="auto" w:fill="D9D9D9"/>
          </w:tcPr>
          <w:p>
            <w:r/>
            <w:r>
              <w:rPr>
                <w:rFonts w:ascii="Calibri" w:hAnsi="Calibri"/>
                <w:b/>
                <w:sz w:val="20"/>
              </w:rPr>
              <w:t>Atacicept annual net price</w:t>
            </w:r>
          </w:p>
        </w:tc>
        <w:tc>
          <w:tcPr>
            <w:tcW w:type="dxa" w:w="3744"/>
            <w:shd w:val="clear" w:color="auto" w:fill="D9D9D9"/>
          </w:tcPr>
          <w:p>
            <w:r/>
            <w:r>
              <w:rPr>
                <w:rFonts w:ascii="Calibri" w:hAnsi="Calibri"/>
                <w:b/>
                <w:sz w:val="20"/>
              </w:rPr>
              <w:t>Implied peak-share math (at $500M revenue)</w:t>
            </w:r>
          </w:p>
        </w:tc>
      </w:tr>
      <w:tr>
        <w:tc>
          <w:tcPr>
            <w:tcW w:type="dxa" w:w="3312"/>
          </w:tcPr>
          <w:p>
            <w:r/>
            <w:r>
              <w:rPr>
                <w:rFonts w:ascii="Calibri" w:hAnsi="Calibri"/>
                <w:sz w:val="20"/>
              </w:rPr>
              <w:t>Parity pricing with VOYXACT</w:t>
            </w:r>
          </w:p>
        </w:tc>
        <w:tc>
          <w:tcPr>
            <w:tcW w:type="dxa" w:w="2448"/>
          </w:tcPr>
          <w:p>
            <w:r/>
            <w:r>
              <w:rPr>
                <w:rFonts w:ascii="Calibri" w:hAnsi="Calibri"/>
                <w:sz w:val="20"/>
              </w:rPr>
              <w:t>$290–300k</w:t>
            </w:r>
          </w:p>
        </w:tc>
        <w:tc>
          <w:tcPr>
            <w:tcW w:type="dxa" w:w="3744"/>
          </w:tcPr>
          <w:p>
            <w:r/>
            <w:r>
              <w:rPr>
                <w:rFonts w:ascii="Calibri" w:hAnsi="Calibri"/>
                <w:sz w:val="20"/>
              </w:rPr>
              <w:t>~1.2% of treatable pool</w:t>
            </w:r>
          </w:p>
        </w:tc>
      </w:tr>
      <w:tr>
        <w:tc>
          <w:tcPr>
            <w:tcW w:type="dxa" w:w="3312"/>
          </w:tcPr>
          <w:p>
            <w:r/>
            <w:r>
              <w:rPr>
                <w:rFonts w:ascii="Calibri" w:hAnsi="Calibri"/>
                <w:sz w:val="20"/>
              </w:rPr>
              <w:t>Slight premium (superior efficacy leverage)</w:t>
            </w:r>
          </w:p>
        </w:tc>
        <w:tc>
          <w:tcPr>
            <w:tcW w:type="dxa" w:w="2448"/>
          </w:tcPr>
          <w:p>
            <w:r/>
            <w:r>
              <w:rPr>
                <w:rFonts w:ascii="Calibri" w:hAnsi="Calibri"/>
                <w:sz w:val="20"/>
              </w:rPr>
              <w:t>$310–330k</w:t>
            </w:r>
          </w:p>
        </w:tc>
        <w:tc>
          <w:tcPr>
            <w:tcW w:type="dxa" w:w="3744"/>
          </w:tcPr>
          <w:p>
            <w:r/>
            <w:r>
              <w:rPr>
                <w:rFonts w:ascii="Calibri" w:hAnsi="Calibri"/>
                <w:sz w:val="20"/>
              </w:rPr>
              <w:t>~1.1% of treatable pool</w:t>
            </w:r>
          </w:p>
        </w:tc>
      </w:tr>
      <w:tr>
        <w:tc>
          <w:tcPr>
            <w:tcW w:type="dxa" w:w="3312"/>
          </w:tcPr>
          <w:p>
            <w:r/>
            <w:r>
              <w:rPr>
                <w:rFonts w:ascii="Calibri" w:hAnsi="Calibri"/>
                <w:sz w:val="20"/>
              </w:rPr>
              <w:t>Slight discount (faster uptake positioning)</w:t>
            </w:r>
          </w:p>
        </w:tc>
        <w:tc>
          <w:tcPr>
            <w:tcW w:type="dxa" w:w="2448"/>
          </w:tcPr>
          <w:p>
            <w:r/>
            <w:r>
              <w:rPr>
                <w:rFonts w:ascii="Calibri" w:hAnsi="Calibri"/>
                <w:sz w:val="20"/>
              </w:rPr>
              <w:t>$260–280k</w:t>
            </w:r>
          </w:p>
        </w:tc>
        <w:tc>
          <w:tcPr>
            <w:tcW w:type="dxa" w:w="3744"/>
          </w:tcPr>
          <w:p>
            <w:r/>
            <w:r>
              <w:rPr>
                <w:rFonts w:ascii="Calibri" w:hAnsi="Calibri"/>
                <w:sz w:val="20"/>
              </w:rPr>
              <w:t>~1.4% of treatable pool</w:t>
            </w:r>
          </w:p>
        </w:tc>
      </w:tr>
      <w:tr>
        <w:tc>
          <w:tcPr>
            <w:tcW w:type="dxa" w:w="3312"/>
          </w:tcPr>
          <w:p>
            <w:r/>
            <w:r>
              <w:rPr>
                <w:rFonts w:ascii="Calibri" w:hAnsi="Calibri"/>
                <w:sz w:val="20"/>
              </w:rPr>
              <w:t>Bear case (payer pushback, narrow label)</w:t>
            </w:r>
          </w:p>
        </w:tc>
        <w:tc>
          <w:tcPr>
            <w:tcW w:type="dxa" w:w="2448"/>
          </w:tcPr>
          <w:p>
            <w:r/>
            <w:r>
              <w:rPr>
                <w:rFonts w:ascii="Calibri" w:hAnsi="Calibri"/>
                <w:sz w:val="20"/>
              </w:rPr>
              <w:t>$220–240k</w:t>
            </w:r>
          </w:p>
        </w:tc>
        <w:tc>
          <w:tcPr>
            <w:tcW w:type="dxa" w:w="3744"/>
          </w:tcPr>
          <w:p>
            <w:r/>
            <w:r>
              <w:rPr>
                <w:rFonts w:ascii="Calibri" w:hAnsi="Calibri"/>
                <w:sz w:val="20"/>
              </w:rPr>
              <w:t>~1.7% of treatable pool</w:t>
            </w:r>
          </w:p>
        </w:tc>
      </w:tr>
    </w:tbl>
    <w:p>
      <w:pPr>
        <w:spacing w:line="276" w:lineRule="auto"/>
        <w:jc w:val="both"/>
      </w:pPr>
      <w:r>
        <w:rPr>
          <w:rFonts w:ascii="Calibri" w:hAnsi="Calibri"/>
          <w:b w:val="0"/>
          <w:i w:val="0"/>
          <w:sz w:val="22"/>
        </w:rPr>
        <w:t>Operational leverage. Vera added 89 heads with inducement grants on 8 April 2026 — the visible slice of commercial buildout. 258,200 options at $40.33 strike is approximately $10.4M of deferred comp at grant, signalling that the company is pricing employees into a stock that it expects to re-rate materially post-approval. Commercial infrastructure investments of this scale 90 days before a PDUFA are not placebo investments.</w:t>
      </w:r>
    </w:p>
    <w:p>
      <w:pPr>
        <w:spacing w:line="276" w:lineRule="auto"/>
        <w:jc w:val="both"/>
      </w:pPr>
      <w:r>
        <w:rPr>
          <w:rFonts w:ascii="Calibri" w:hAnsi="Calibri"/>
          <w:b w:val="0"/>
          <w:i w:val="0"/>
          <w:sz w:val="22"/>
        </w:rPr>
        <w:t>Payer landscape. Accelerated Approval status is neutral for payer coverage — commercial and Medicare plans have been covering AA-label biologics in nephrology (Fabhalta, Filspari, Vanrafia) and there is no evidence of a payer shift to restrict AA-status products specifically. Caregiver economics for IgAN are favorable: delayed dialysis onset saves payers roughly $90–110k per patient-year of ESRD averted, which supports premium pricing in the efficacy-differentiated B-cell-pathway biologics.</w:t>
      </w:r>
    </w:p>
    <w:p>
      <w:pPr>
        <w:spacing w:before="240" w:after="80" w:line="276" w:lineRule="auto"/>
      </w:pPr>
      <w:r>
        <w:rPr>
          <w:rFonts w:ascii="Calibri" w:hAnsi="Calibri"/>
          <w:b/>
          <w:sz w:val="36"/>
        </w:rPr>
        <w:t>A.6  The Quantitative Frame — 7-Dimension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D9D9"/>
          </w:tcPr>
          <w:p>
            <w:r/>
            <w:r>
              <w:rPr>
                <w:rFonts w:ascii="Calibri" w:hAnsi="Calibri"/>
                <w:b/>
                <w:sz w:val="20"/>
              </w:rPr>
              <w:t>Dimension</w:t>
            </w:r>
          </w:p>
        </w:tc>
        <w:tc>
          <w:tcPr>
            <w:tcW w:type="dxa" w:w="864"/>
            <w:shd w:val="clear" w:color="auto" w:fill="D9D9D9"/>
          </w:tcPr>
          <w:p>
            <w:r/>
            <w:r>
              <w:rPr>
                <w:rFonts w:ascii="Calibri" w:hAnsi="Calibri"/>
                <w:b/>
                <w:sz w:val="20"/>
              </w:rPr>
              <w:t>Weight</w:t>
            </w:r>
          </w:p>
        </w:tc>
        <w:tc>
          <w:tcPr>
            <w:tcW w:type="dxa" w:w="720"/>
            <w:shd w:val="clear" w:color="auto" w:fill="D9D9D9"/>
          </w:tcPr>
          <w:p>
            <w:r/>
            <w:r>
              <w:rPr>
                <w:rFonts w:ascii="Calibri" w:hAnsi="Calibri"/>
                <w:b/>
                <w:sz w:val="20"/>
              </w:rPr>
              <w:t>Score</w:t>
            </w:r>
          </w:p>
        </w:tc>
        <w:tc>
          <w:tcPr>
            <w:tcW w:type="dxa" w:w="1008"/>
            <w:shd w:val="clear" w:color="auto" w:fill="D9D9D9"/>
          </w:tcPr>
          <w:p>
            <w:r/>
            <w:r>
              <w:rPr>
                <w:rFonts w:ascii="Calibri" w:hAnsi="Calibri"/>
                <w:b/>
                <w:sz w:val="20"/>
              </w:rPr>
              <w:t>Weighted</w:t>
            </w:r>
          </w:p>
        </w:tc>
        <w:tc>
          <w:tcPr>
            <w:tcW w:type="dxa" w:w="4896"/>
            <w:shd w:val="clear" w:color="auto" w:fill="D9D9D9"/>
          </w:tcPr>
          <w:p>
            <w:r/>
            <w:r>
              <w:rPr>
                <w:rFonts w:ascii="Calibri" w:hAnsi="Calibri"/>
                <w:b/>
                <w:sz w:val="20"/>
              </w:rPr>
              <w:t>Rationale</w:t>
            </w:r>
          </w:p>
        </w:tc>
      </w:tr>
      <w:tr>
        <w:tc>
          <w:tcPr>
            <w:tcW w:type="dxa" w:w="1872"/>
          </w:tcPr>
          <w:p>
            <w:r/>
            <w:r>
              <w:rPr>
                <w:rFonts w:ascii="Calibri" w:hAnsi="Calibri"/>
                <w:sz w:val="20"/>
              </w:rPr>
              <w:t>Signal Strength</w:t>
            </w:r>
          </w:p>
        </w:tc>
        <w:tc>
          <w:tcPr>
            <w:tcW w:type="dxa" w:w="864"/>
          </w:tcPr>
          <w:p>
            <w:r/>
            <w:r>
              <w:rPr>
                <w:rFonts w:ascii="Calibri" w:hAnsi="Calibri"/>
                <w:sz w:val="20"/>
              </w:rPr>
              <w:t>×2.0</w:t>
            </w:r>
          </w:p>
        </w:tc>
        <w:tc>
          <w:tcPr>
            <w:tcW w:type="dxa" w:w="720"/>
          </w:tcPr>
          <w:p>
            <w:r/>
            <w:r>
              <w:rPr>
                <w:rFonts w:ascii="Calibri" w:hAnsi="Calibri"/>
                <w:sz w:val="20"/>
              </w:rPr>
              <w:t>4.0</w:t>
            </w:r>
          </w:p>
        </w:tc>
        <w:tc>
          <w:tcPr>
            <w:tcW w:type="dxa" w:w="1008"/>
          </w:tcPr>
          <w:p>
            <w:r/>
            <w:r>
              <w:rPr>
                <w:rFonts w:ascii="Calibri" w:hAnsi="Calibri"/>
                <w:sz w:val="20"/>
              </w:rPr>
              <w:t>8.0</w:t>
            </w:r>
          </w:p>
        </w:tc>
        <w:tc>
          <w:tcPr>
            <w:tcW w:type="dxa" w:w="4896"/>
          </w:tcPr>
          <w:p>
            <w:r/>
            <w:r>
              <w:rPr>
                <w:rFonts w:ascii="Calibri" w:hAnsi="Calibri"/>
                <w:sz w:val="20"/>
              </w:rPr>
              <w:t>NEJM publication, BTD, Priority Review, AA pathway, no AdCom, 42% placebo-adjusted proteinuria + 68% Gd-IgA1 + 81% hematuria resolution. Trimmed from 4.5 to 4.0 only because landscape has 4 prior approvals — the raw dataset alone would justify 4.5.</w:t>
            </w:r>
          </w:p>
        </w:tc>
      </w:tr>
      <w:tr>
        <w:tc>
          <w:tcPr>
            <w:tcW w:type="dxa" w:w="1872"/>
          </w:tcPr>
          <w:p>
            <w:r/>
            <w:r>
              <w:rPr>
                <w:rFonts w:ascii="Calibri" w:hAnsi="Calibri"/>
                <w:sz w:val="20"/>
              </w:rPr>
              <w:t>Catalyst Clarity</w:t>
            </w:r>
          </w:p>
        </w:tc>
        <w:tc>
          <w:tcPr>
            <w:tcW w:type="dxa" w:w="864"/>
          </w:tcPr>
          <w:p>
            <w:r/>
            <w:r>
              <w:rPr>
                <w:rFonts w:ascii="Calibri" w:hAnsi="Calibri"/>
                <w:sz w:val="20"/>
              </w:rPr>
              <w:t>×1.0</w:t>
            </w:r>
          </w:p>
        </w:tc>
        <w:tc>
          <w:tcPr>
            <w:tcW w:type="dxa" w:w="720"/>
          </w:tcPr>
          <w:p>
            <w:r/>
            <w:r>
              <w:rPr>
                <w:rFonts w:ascii="Calibri" w:hAnsi="Calibri"/>
                <w:sz w:val="20"/>
              </w:rPr>
              <w:t>4.5</w:t>
            </w:r>
          </w:p>
        </w:tc>
        <w:tc>
          <w:tcPr>
            <w:tcW w:type="dxa" w:w="1008"/>
          </w:tcPr>
          <w:p>
            <w:r/>
            <w:r>
              <w:rPr>
                <w:rFonts w:ascii="Calibri" w:hAnsi="Calibri"/>
                <w:sz w:val="20"/>
              </w:rPr>
              <w:t>4.5</w:t>
            </w:r>
          </w:p>
        </w:tc>
        <w:tc>
          <w:tcPr>
            <w:tcW w:type="dxa" w:w="4896"/>
          </w:tcPr>
          <w:p>
            <w:r/>
            <w:r>
              <w:rPr>
                <w:rFonts w:ascii="Calibri" w:hAnsi="Calibri"/>
                <w:sz w:val="20"/>
              </w:rPr>
              <w:t>Hard binary PDUFA 7 July 2026. No AdCom scheduled. Launch planned mid-2026.</w:t>
            </w:r>
          </w:p>
        </w:tc>
      </w:tr>
      <w:tr>
        <w:tc>
          <w:tcPr>
            <w:tcW w:type="dxa" w:w="1872"/>
          </w:tcPr>
          <w:p>
            <w:r/>
            <w:r>
              <w:rPr>
                <w:rFonts w:ascii="Calibri" w:hAnsi="Calibri"/>
                <w:sz w:val="20"/>
              </w:rPr>
              <w:t>Info Asymmetry</w:t>
            </w:r>
          </w:p>
        </w:tc>
        <w:tc>
          <w:tcPr>
            <w:tcW w:type="dxa" w:w="864"/>
          </w:tcPr>
          <w:p>
            <w:r/>
            <w:r>
              <w:rPr>
                <w:rFonts w:ascii="Calibri" w:hAnsi="Calibri"/>
                <w:sz w:val="20"/>
              </w:rPr>
              <w:t>×1.5</w:t>
            </w:r>
          </w:p>
        </w:tc>
        <w:tc>
          <w:tcPr>
            <w:tcW w:type="dxa" w:w="720"/>
          </w:tcPr>
          <w:p>
            <w:r/>
            <w:r>
              <w:rPr>
                <w:rFonts w:ascii="Calibri" w:hAnsi="Calibri"/>
                <w:sz w:val="20"/>
              </w:rPr>
              <w:t>2.0</w:t>
            </w:r>
          </w:p>
        </w:tc>
        <w:tc>
          <w:tcPr>
            <w:tcW w:type="dxa" w:w="1008"/>
          </w:tcPr>
          <w:p>
            <w:r/>
            <w:r>
              <w:rPr>
                <w:rFonts w:ascii="Calibri" w:hAnsi="Calibri"/>
                <w:sz w:val="20"/>
              </w:rPr>
              <w:t>3.0</w:t>
            </w:r>
          </w:p>
        </w:tc>
        <w:tc>
          <w:tcPr>
            <w:tcW w:type="dxa" w:w="4896"/>
          </w:tcPr>
          <w:p>
            <w:r/>
            <w:r>
              <w:rPr>
                <w:rFonts w:ascii="Calibri" w:hAnsi="Calibri"/>
                <w:sz w:val="20"/>
              </w:rPr>
              <w:t>Dataset is widely known (NEJM + Kidney Week). Wolfe $88 PT priced. 13Gs are public. The asymmetric edge is commercial-positioning math against sibeprenlimab which is under-modeled by sell-side.</w:t>
            </w:r>
          </w:p>
        </w:tc>
      </w:tr>
      <w:tr>
        <w:tc>
          <w:tcPr>
            <w:tcW w:type="dxa" w:w="1872"/>
          </w:tcPr>
          <w:p>
            <w:r/>
            <w:r>
              <w:rPr>
                <w:rFonts w:ascii="Calibri" w:hAnsi="Calibri"/>
                <w:sz w:val="20"/>
              </w:rPr>
              <w:t>Risk/Reward</w:t>
            </w:r>
          </w:p>
        </w:tc>
        <w:tc>
          <w:tcPr>
            <w:tcW w:type="dxa" w:w="864"/>
          </w:tcPr>
          <w:p>
            <w:r/>
            <w:r>
              <w:rPr>
                <w:rFonts w:ascii="Calibri" w:hAnsi="Calibri"/>
                <w:sz w:val="20"/>
              </w:rPr>
              <w:t>×1.0</w:t>
            </w:r>
          </w:p>
        </w:tc>
        <w:tc>
          <w:tcPr>
            <w:tcW w:type="dxa" w:w="720"/>
          </w:tcPr>
          <w:p>
            <w:r/>
            <w:r>
              <w:rPr>
                <w:rFonts w:ascii="Calibri" w:hAnsi="Calibri"/>
                <w:sz w:val="20"/>
              </w:rPr>
              <w:t>3.5</w:t>
            </w:r>
          </w:p>
        </w:tc>
        <w:tc>
          <w:tcPr>
            <w:tcW w:type="dxa" w:w="1008"/>
          </w:tcPr>
          <w:p>
            <w:r/>
            <w:r>
              <w:rPr>
                <w:rFonts w:ascii="Calibri" w:hAnsi="Calibri"/>
                <w:sz w:val="20"/>
              </w:rPr>
              <w:t>3.5</w:t>
            </w:r>
          </w:p>
        </w:tc>
        <w:tc>
          <w:tcPr>
            <w:tcW w:type="dxa" w:w="4896"/>
          </w:tcPr>
          <w:p>
            <w:r/>
            <w:r>
              <w:rPr>
                <w:rFonts w:ascii="Calibri" w:hAnsi="Calibri"/>
                <w:sz w:val="20"/>
              </w:rPr>
              <w:t>$3.2B mcap. Approval upside 35–60% (base), 80–110% (bull). CRL downside -30% to -45%. Probability-weighted expected return materially positive.</w:t>
            </w:r>
          </w:p>
        </w:tc>
      </w:tr>
      <w:tr>
        <w:tc>
          <w:tcPr>
            <w:tcW w:type="dxa" w:w="1872"/>
          </w:tcPr>
          <w:p>
            <w:r/>
            <w:r>
              <w:rPr>
                <w:rFonts w:ascii="Calibri" w:hAnsi="Calibri"/>
                <w:sz w:val="20"/>
              </w:rPr>
              <w:t>Edge Decay</w:t>
            </w:r>
          </w:p>
        </w:tc>
        <w:tc>
          <w:tcPr>
            <w:tcW w:type="dxa" w:w="864"/>
          </w:tcPr>
          <w:p>
            <w:r/>
            <w:r>
              <w:rPr>
                <w:rFonts w:ascii="Calibri" w:hAnsi="Calibri"/>
                <w:sz w:val="20"/>
              </w:rPr>
              <w:t>×1.0</w:t>
            </w:r>
          </w:p>
        </w:tc>
        <w:tc>
          <w:tcPr>
            <w:tcW w:type="dxa" w:w="720"/>
          </w:tcPr>
          <w:p>
            <w:r/>
            <w:r>
              <w:rPr>
                <w:rFonts w:ascii="Calibri" w:hAnsi="Calibri"/>
                <w:sz w:val="20"/>
              </w:rPr>
              <w:t>3.5</w:t>
            </w:r>
          </w:p>
        </w:tc>
        <w:tc>
          <w:tcPr>
            <w:tcW w:type="dxa" w:w="1008"/>
          </w:tcPr>
          <w:p>
            <w:r/>
            <w:r>
              <w:rPr>
                <w:rFonts w:ascii="Calibri" w:hAnsi="Calibri"/>
                <w:sz w:val="20"/>
              </w:rPr>
              <w:t>3.5</w:t>
            </w:r>
          </w:p>
        </w:tc>
        <w:tc>
          <w:tcPr>
            <w:tcW w:type="dxa" w:w="4896"/>
          </w:tcPr>
          <w:p>
            <w:r/>
            <w:r>
              <w:rPr>
                <w:rFonts w:ascii="Calibri" w:hAnsi="Calibri"/>
                <w:sz w:val="20"/>
              </w:rPr>
              <w:t>60 trading days to catalyst — long enough for accumulation, short enough to commit the bet. Narrative decay starts if no adverse FDA comm by early June.</w:t>
            </w:r>
          </w:p>
        </w:tc>
      </w:tr>
      <w:tr>
        <w:tc>
          <w:tcPr>
            <w:tcW w:type="dxa" w:w="1872"/>
          </w:tcPr>
          <w:p>
            <w:r/>
            <w:r>
              <w:rPr>
                <w:rFonts w:ascii="Calibri" w:hAnsi="Calibri"/>
                <w:sz w:val="20"/>
              </w:rPr>
              <w:t>Liquidity</w:t>
            </w:r>
          </w:p>
        </w:tc>
        <w:tc>
          <w:tcPr>
            <w:tcW w:type="dxa" w:w="864"/>
          </w:tcPr>
          <w:p>
            <w:r/>
            <w:r>
              <w:rPr>
                <w:rFonts w:ascii="Calibri" w:hAnsi="Calibri"/>
                <w:sz w:val="20"/>
              </w:rPr>
              <w:t>×1.0</w:t>
            </w:r>
          </w:p>
        </w:tc>
        <w:tc>
          <w:tcPr>
            <w:tcW w:type="dxa" w:w="720"/>
          </w:tcPr>
          <w:p>
            <w:r/>
            <w:r>
              <w:rPr>
                <w:rFonts w:ascii="Calibri" w:hAnsi="Calibri"/>
                <w:sz w:val="20"/>
              </w:rPr>
              <w:t>4.5</w:t>
            </w:r>
          </w:p>
        </w:tc>
        <w:tc>
          <w:tcPr>
            <w:tcW w:type="dxa" w:w="1008"/>
          </w:tcPr>
          <w:p>
            <w:r/>
            <w:r>
              <w:rPr>
                <w:rFonts w:ascii="Calibri" w:hAnsi="Calibri"/>
                <w:sz w:val="20"/>
              </w:rPr>
              <w:t>4.5</w:t>
            </w:r>
          </w:p>
        </w:tc>
        <w:tc>
          <w:tcPr>
            <w:tcW w:type="dxa" w:w="4896"/>
          </w:tcPr>
          <w:p>
            <w:r/>
            <w:r>
              <w:rPr>
                <w:rFonts w:ascii="Calibri" w:hAnsi="Calibri"/>
                <w:sz w:val="20"/>
              </w:rPr>
              <w:t>$61M/day dollar ADV. Excellent for size. Options chain liquid.</w:t>
            </w:r>
          </w:p>
        </w:tc>
      </w:tr>
      <w:tr>
        <w:tc>
          <w:tcPr>
            <w:tcW w:type="dxa" w:w="1872"/>
          </w:tcPr>
          <w:p>
            <w:r/>
            <w:r>
              <w:rPr>
                <w:rFonts w:ascii="Calibri" w:hAnsi="Calibri"/>
                <w:sz w:val="20"/>
              </w:rPr>
              <w:t>Catalyst Timeline</w:t>
            </w:r>
          </w:p>
        </w:tc>
        <w:tc>
          <w:tcPr>
            <w:tcW w:type="dxa" w:w="864"/>
          </w:tcPr>
          <w:p>
            <w:r/>
            <w:r>
              <w:rPr>
                <w:rFonts w:ascii="Calibri" w:hAnsi="Calibri"/>
                <w:sz w:val="20"/>
              </w:rPr>
              <w:t>×1.0</w:t>
            </w:r>
          </w:p>
        </w:tc>
        <w:tc>
          <w:tcPr>
            <w:tcW w:type="dxa" w:w="720"/>
          </w:tcPr>
          <w:p>
            <w:r/>
            <w:r>
              <w:rPr>
                <w:rFonts w:ascii="Calibri" w:hAnsi="Calibri"/>
                <w:sz w:val="20"/>
              </w:rPr>
              <w:t>3.5</w:t>
            </w:r>
          </w:p>
        </w:tc>
        <w:tc>
          <w:tcPr>
            <w:tcW w:type="dxa" w:w="1008"/>
          </w:tcPr>
          <w:p>
            <w:r/>
            <w:r>
              <w:rPr>
                <w:rFonts w:ascii="Calibri" w:hAnsi="Calibri"/>
                <w:sz w:val="20"/>
              </w:rPr>
              <w:t>3.5</w:t>
            </w:r>
          </w:p>
        </w:tc>
        <w:tc>
          <w:tcPr>
            <w:tcW w:type="dxa" w:w="4896"/>
          </w:tcPr>
          <w:p>
            <w:r/>
            <w:r>
              <w:rPr>
                <w:rFonts w:ascii="Calibri" w:hAnsi="Calibri"/>
                <w:sz w:val="20"/>
              </w:rPr>
              <w:t>Inverse scoring — ~60 trading days ≈ 3.5 on the 0d=5 / 30d=4 / 90d=3 anchor curve.</w:t>
            </w:r>
          </w:p>
        </w:tc>
      </w:tr>
      <w:tr>
        <w:tc>
          <w:tcPr>
            <w:tcW w:type="dxa" w:w="1872"/>
          </w:tcPr>
          <w:p>
            <w:r/>
            <w:r>
              <w:rPr>
                <w:rFonts w:ascii="Calibri" w:hAnsi="Calibri"/>
                <w:sz w:val="20"/>
              </w:rPr>
              <w:t>TOTAL</w:t>
            </w:r>
          </w:p>
        </w:tc>
        <w:tc>
          <w:tcPr>
            <w:tcW w:type="dxa" w:w="864"/>
          </w:tcPr>
          <w:p>
            <w:r/>
            <w:r>
              <w:rPr>
                <w:rFonts w:ascii="Calibri" w:hAnsi="Calibri"/>
                <w:sz w:val="20"/>
              </w:rPr>
            </w:r>
          </w:p>
        </w:tc>
        <w:tc>
          <w:tcPr>
            <w:tcW w:type="dxa" w:w="720"/>
          </w:tcPr>
          <w:p>
            <w:r/>
            <w:r>
              <w:rPr>
                <w:rFonts w:ascii="Calibri" w:hAnsi="Calibri"/>
                <w:sz w:val="20"/>
              </w:rPr>
            </w:r>
          </w:p>
        </w:tc>
        <w:tc>
          <w:tcPr>
            <w:tcW w:type="dxa" w:w="1008"/>
          </w:tcPr>
          <w:p>
            <w:r/>
            <w:r>
              <w:rPr>
                <w:rFonts w:ascii="Calibri" w:hAnsi="Calibri"/>
                <w:sz w:val="20"/>
              </w:rPr>
              <w:t>30.5</w:t>
            </w:r>
          </w:p>
        </w:tc>
        <w:tc>
          <w:tcPr>
            <w:tcW w:type="dxa" w:w="4896"/>
          </w:tcPr>
          <w:p>
            <w:r/>
            <w:r>
              <w:rPr>
                <w:rFonts w:ascii="Calibri" w:hAnsi="Calibri"/>
                <w:sz w:val="20"/>
              </w:rPr>
              <w:t>Above 28 candidate threshold. Active hold.</w:t>
            </w:r>
          </w:p>
        </w:tc>
      </w:tr>
    </w:tbl>
    <w:p>
      <w:pPr>
        <w:spacing w:line="276" w:lineRule="auto"/>
        <w:jc w:val="both"/>
      </w:pPr>
      <w:r>
        <w:rPr>
          <w:rFonts w:ascii="Calibri" w:hAnsi="Calibri"/>
          <w:b w:val="0"/>
          <w:i w:val="0"/>
          <w:sz w:val="22"/>
        </w:rPr>
        <w:t>Web-research commentary. The April 2026 research sweep (stock action, sibeprenlimab Q1 uptake signals, Otsuka ISN 2026 presentations, 89-head inducement grants, Hite board appointment, Apr 10 +10% tape on 2.6× volume with no apparent single-source driver) is net strengthens-the-thesis. No kill condition has been triggered. No dimension score materially changes. Signal Strength could arguably move from 4.0 to 4.25 on the Apr 8 commercial-buildout tell, but that is a decimal-dust move and does not alter the recommendation.</w:t>
      </w:r>
    </w:p>
    <w:p>
      <w:pPr>
        <w:spacing w:before="240" w:after="80" w:line="276" w:lineRule="auto"/>
      </w:pPr>
      <w:r>
        <w:rPr>
          <w:rFonts w:ascii="Calibri" w:hAnsi="Calibri"/>
          <w:b/>
          <w:sz w:val="36"/>
        </w:rPr>
        <w:t>A.7  Market Interpretation vs. Mine</w:t>
      </w:r>
    </w:p>
    <w:tbl>
      <w:tblPr>
        <w:tblStyle w:val="TableGrid"/>
        <w:tblW w:type="auto" w:w="0"/>
        <w:tblLook w:firstColumn="1" w:firstRow="1" w:lastColumn="0" w:lastRow="0" w:noHBand="0" w:noVBand="1" w:val="04A0"/>
      </w:tblPr>
      <w:tblGrid>
        <w:gridCol w:w="3120"/>
        <w:gridCol w:w="3120"/>
        <w:gridCol w:w="3120"/>
      </w:tblGrid>
      <w:tr>
        <w:tc>
          <w:tcPr>
            <w:tcW w:type="dxa" w:w="2736"/>
            <w:shd w:val="clear" w:color="auto" w:fill="D9D9D9"/>
          </w:tcPr>
          <w:p>
            <w:r/>
            <w:r>
              <w:rPr>
                <w:rFonts w:ascii="Calibri" w:hAnsi="Calibri"/>
                <w:b/>
                <w:sz w:val="20"/>
              </w:rPr>
              <w:t>Contested question</w:t>
            </w:r>
          </w:p>
        </w:tc>
        <w:tc>
          <w:tcPr>
            <w:tcW w:type="dxa" w:w="3312"/>
            <w:shd w:val="clear" w:color="auto" w:fill="D9D9D9"/>
          </w:tcPr>
          <w:p>
            <w:r/>
            <w:r>
              <w:rPr>
                <w:rFonts w:ascii="Calibri" w:hAnsi="Calibri"/>
                <w:b/>
                <w:sz w:val="20"/>
              </w:rPr>
              <w:t>Market's interpretation</w:t>
            </w:r>
          </w:p>
        </w:tc>
        <w:tc>
          <w:tcPr>
            <w:tcW w:type="dxa" w:w="3312"/>
            <w:shd w:val="clear" w:color="auto" w:fill="D9D9D9"/>
          </w:tcPr>
          <w:p>
            <w:r/>
            <w:r>
              <w:rPr>
                <w:rFonts w:ascii="Calibri" w:hAnsi="Calibri"/>
                <w:b/>
                <w:sz w:val="20"/>
              </w:rPr>
              <w:t>This thesis</w:t>
            </w:r>
          </w:p>
        </w:tc>
      </w:tr>
      <w:tr>
        <w:tc>
          <w:tcPr>
            <w:tcW w:type="dxa" w:w="2736"/>
          </w:tcPr>
          <w:p>
            <w:r/>
            <w:r>
              <w:rPr>
                <w:rFonts w:ascii="Calibri" w:hAnsi="Calibri"/>
                <w:sz w:val="20"/>
              </w:rPr>
              <w:t>Is atacicept differentiated, or a me-too in a crowded field?</w:t>
            </w:r>
          </w:p>
        </w:tc>
        <w:tc>
          <w:tcPr>
            <w:tcW w:type="dxa" w:w="3312"/>
          </w:tcPr>
          <w:p>
            <w:r/>
            <w:r>
              <w:rPr>
                <w:rFonts w:ascii="Calibri" w:hAnsi="Calibri"/>
                <w:sz w:val="20"/>
              </w:rPr>
              <w:t>Crowded field; late entrant; commercial outlook modest.</w:t>
            </w:r>
          </w:p>
        </w:tc>
        <w:tc>
          <w:tcPr>
            <w:tcW w:type="dxa" w:w="3312"/>
          </w:tcPr>
          <w:p>
            <w:r/>
            <w:r>
              <w:rPr>
                <w:rFonts w:ascii="Calibri" w:hAnsi="Calibri"/>
                <w:sz w:val="20"/>
              </w:rPr>
              <w:t>Mechanistically differentiated on dual BAFF+APRIL; only direct competitor is sibeprenlimab. Mechanistically and data-set-wise, atacicept is the most complete asset in the class.</w:t>
            </w:r>
          </w:p>
        </w:tc>
      </w:tr>
      <w:tr>
        <w:tc>
          <w:tcPr>
            <w:tcW w:type="dxa" w:w="2736"/>
          </w:tcPr>
          <w:p>
            <w:r/>
            <w:r>
              <w:rPr>
                <w:rFonts w:ascii="Calibri" w:hAnsi="Calibri"/>
                <w:sz w:val="20"/>
              </w:rPr>
              <w:t>Does sibeprenlimab's Nov 2025 approval cap atacicept's pricing?</w:t>
            </w:r>
          </w:p>
        </w:tc>
        <w:tc>
          <w:tcPr>
            <w:tcW w:type="dxa" w:w="3312"/>
          </w:tcPr>
          <w:p>
            <w:r/>
            <w:r>
              <w:rPr>
                <w:rFonts w:ascii="Calibri" w:hAnsi="Calibri"/>
                <w:sz w:val="20"/>
              </w:rPr>
              <w:t>Yes — $292.5k ceiling, price compression likely.</w:t>
            </w:r>
          </w:p>
        </w:tc>
        <w:tc>
          <w:tcPr>
            <w:tcW w:type="dxa" w:w="3312"/>
          </w:tcPr>
          <w:p>
            <w:r/>
            <w:r>
              <w:rPr>
                <w:rFonts w:ascii="Calibri" w:hAnsi="Calibri"/>
                <w:sz w:val="20"/>
              </w:rPr>
              <w:t>$292.5k is the floor of the upstream B-cell-pathway pricing corridor, not the ceiling. Atacicept can price at parity and still deliver current risk-adjusted peak.</w:t>
            </w:r>
          </w:p>
        </w:tc>
      </w:tr>
      <w:tr>
        <w:tc>
          <w:tcPr>
            <w:tcW w:type="dxa" w:w="2736"/>
          </w:tcPr>
          <w:p>
            <w:r/>
            <w:r>
              <w:rPr>
                <w:rFonts w:ascii="Calibri" w:hAnsi="Calibri"/>
                <w:sz w:val="20"/>
              </w:rPr>
              <w:t>How risked is the AA surrogate endpoint?</w:t>
            </w:r>
          </w:p>
        </w:tc>
        <w:tc>
          <w:tcPr>
            <w:tcW w:type="dxa" w:w="3312"/>
          </w:tcPr>
          <w:p>
            <w:r/>
            <w:r>
              <w:rPr>
                <w:rFonts w:ascii="Calibri" w:hAnsi="Calibri"/>
                <w:sz w:val="20"/>
              </w:rPr>
              <w:t>FDA might tighten — bear case for label.</w:t>
            </w:r>
          </w:p>
        </w:tc>
        <w:tc>
          <w:tcPr>
            <w:tcW w:type="dxa" w:w="3312"/>
          </w:tcPr>
          <w:p>
            <w:r/>
            <w:r>
              <w:rPr>
                <w:rFonts w:ascii="Calibri" w:hAnsi="Calibri"/>
                <w:sz w:val="20"/>
              </w:rPr>
              <w:t>FDA accepted the BLA on the proteinuria surrogate in Jan 2026 and has not signalled label-tightening via info requests. Low probability of endpoint-based restriction.</w:t>
            </w:r>
          </w:p>
        </w:tc>
      </w:tr>
      <w:tr>
        <w:tc>
          <w:tcPr>
            <w:tcW w:type="dxa" w:w="2736"/>
          </w:tcPr>
          <w:p>
            <w:r/>
            <w:r>
              <w:rPr>
                <w:rFonts w:ascii="Calibri" w:hAnsi="Calibri"/>
                <w:sz w:val="20"/>
              </w:rPr>
              <w:t>Is the selloff-from-high (if any) a fade signal?</w:t>
            </w:r>
          </w:p>
        </w:tc>
        <w:tc>
          <w:tcPr>
            <w:tcW w:type="dxa" w:w="3312"/>
          </w:tcPr>
          <w:p>
            <w:r/>
            <w:r>
              <w:rPr>
                <w:rFonts w:ascii="Calibri" w:hAnsi="Calibri"/>
                <w:sz w:val="20"/>
              </w:rPr>
              <w:t>Consolidation since the Apr 10 +10% move (currently ~$43.71) reads as failed breakout.</w:t>
            </w:r>
          </w:p>
        </w:tc>
        <w:tc>
          <w:tcPr>
            <w:tcW w:type="dxa" w:w="3312"/>
          </w:tcPr>
          <w:p>
            <w:r/>
            <w:r>
              <w:rPr>
                <w:rFonts w:ascii="Calibri" w:hAnsi="Calibri"/>
                <w:sz w:val="20"/>
              </w:rPr>
              <w:t>The Apr 10 move appears news-driven (Wolfe upgrade tailwind + sibeprenlimab mechanism narrative); consolidation is normal post-spike, not thesis damage. Short interest at 13.1% is compatible with continued accumulation.</w:t>
            </w:r>
          </w:p>
        </w:tc>
      </w:tr>
      <w:tr>
        <w:tc>
          <w:tcPr>
            <w:tcW w:type="dxa" w:w="2736"/>
          </w:tcPr>
          <w:p>
            <w:r/>
            <w:r>
              <w:rPr>
                <w:rFonts w:ascii="Calibri" w:hAnsi="Calibri"/>
                <w:sz w:val="20"/>
              </w:rPr>
              <w:t>Is telitacicept a latent threat?</w:t>
            </w:r>
          </w:p>
        </w:tc>
        <w:tc>
          <w:tcPr>
            <w:tcW w:type="dxa" w:w="3312"/>
          </w:tcPr>
          <w:p>
            <w:r/>
            <w:r>
              <w:rPr>
                <w:rFonts w:ascii="Calibri" w:hAnsi="Calibri"/>
                <w:sz w:val="20"/>
              </w:rPr>
              <w:t>Largely ignored by sell-side; Chinese market only.</w:t>
            </w:r>
          </w:p>
        </w:tc>
        <w:tc>
          <w:tcPr>
            <w:tcW w:type="dxa" w:w="3312"/>
          </w:tcPr>
          <w:p>
            <w:r/>
            <w:r>
              <w:rPr>
                <w:rFonts w:ascii="Calibri" w:hAnsi="Calibri"/>
                <w:sz w:val="20"/>
              </w:rPr>
              <w:t>Mechanistically identical (RemeGen, dual BAFF+APRIL). If it files in the US within 18 months post-atacicept approval, franchise compression is real — but post-catalyst risk, not pre-catalyst. Track but do not trade around.</w:t>
            </w:r>
          </w:p>
        </w:tc>
      </w:tr>
      <w:tr>
        <w:tc>
          <w:tcPr>
            <w:tcW w:type="dxa" w:w="2736"/>
          </w:tcPr>
          <w:p>
            <w:r/>
            <w:r>
              <w:rPr>
                <w:rFonts w:ascii="Calibri" w:hAnsi="Calibri"/>
                <w:sz w:val="20"/>
              </w:rPr>
              <w:t>Is M&amp;A priced in?</w:t>
            </w:r>
          </w:p>
        </w:tc>
        <w:tc>
          <w:tcPr>
            <w:tcW w:type="dxa" w:w="3312"/>
          </w:tcPr>
          <w:p>
            <w:r/>
            <w:r>
              <w:rPr>
                <w:rFonts w:ascii="Calibri" w:hAnsi="Calibri"/>
                <w:sz w:val="20"/>
              </w:rPr>
              <w:t>No; VERA trades as a standalone single-asset company.</w:t>
            </w:r>
          </w:p>
        </w:tc>
        <w:tc>
          <w:tcPr>
            <w:tcW w:type="dxa" w:w="3312"/>
          </w:tcPr>
          <w:p>
            <w:r/>
            <w:r>
              <w:rPr>
                <w:rFonts w:ascii="Calibri" w:hAnsi="Calibri"/>
                <w:sz w:val="20"/>
              </w:rPr>
              <w:t>Hite's 5 Mar 2026 board seat is the most visible M&amp;A tell. Not priced in. Free optionality on sizing.</w:t>
            </w:r>
          </w:p>
        </w:tc>
      </w:tr>
      <w:tr>
        <w:tc>
          <w:tcPr>
            <w:tcW w:type="dxa" w:w="2736"/>
          </w:tcPr>
          <w:p>
            <w:r/>
            <w:r>
              <w:rPr>
                <w:rFonts w:ascii="Calibri" w:hAnsi="Calibri"/>
                <w:sz w:val="20"/>
              </w:rPr>
              <w:t>Is the valuation 'already up' from Deep Track accumulation?</w:t>
            </w:r>
          </w:p>
        </w:tc>
        <w:tc>
          <w:tcPr>
            <w:tcW w:type="dxa" w:w="3312"/>
          </w:tcPr>
          <w:p>
            <w:r/>
            <w:r>
              <w:rPr>
                <w:rFonts w:ascii="Calibri" w:hAnsi="Calibri"/>
                <w:sz w:val="20"/>
              </w:rPr>
              <w:t>Deep Track is widely reported; edge is gone.</w:t>
            </w:r>
          </w:p>
        </w:tc>
        <w:tc>
          <w:tcPr>
            <w:tcW w:type="dxa" w:w="3312"/>
          </w:tcPr>
          <w:p>
            <w:r/>
            <w:r>
              <w:rPr>
                <w:rFonts w:ascii="Calibri" w:hAnsi="Calibri"/>
                <w:sz w:val="20"/>
              </w:rPr>
              <w:t>The edge was never in the position disclosure — it is in the commercial-positioning math that remains under-modeled. Deep Track's conviction validates; it does not exhaust.</w:t>
            </w:r>
          </w:p>
        </w:tc>
      </w:tr>
    </w:tbl>
    <w:p>
      <w:pPr>
        <w:spacing w:line="276" w:lineRule="auto"/>
        <w:jc w:val="both"/>
      </w:pPr>
      <w:r>
        <w:rPr>
          <w:rFonts w:ascii="Calibri" w:hAnsi="Calibri"/>
          <w:b w:val="0"/>
          <w:i w:val="0"/>
          <w:sz w:val="22"/>
        </w:rPr>
        <w:t>Narrative arbitrage. The sell-side model for atacicept is anchored on standard IgAN comparables (Filspari, Fabhalta, Vanrafia) rather than the single true mechanistic comparator (VOYXACT). That mis-anchoring compresses every risk-adjusted revenue line. A single analyst re-rating the commercial model against sibeprenlimab's pricing reprices the stock. Wolfe's $88 is directionally that re-rating; the consensus has not yet followed.</w:t>
      </w:r>
    </w:p>
    <w:p>
      <w:pPr>
        <w:spacing w:before="240" w:after="80" w:line="276" w:lineRule="auto"/>
      </w:pPr>
      <w:r>
        <w:rPr>
          <w:rFonts w:ascii="Calibri" w:hAnsi="Calibri"/>
          <w:b/>
          <w:sz w:val="36"/>
        </w:rPr>
        <w:t>A.8  Risks — What Would Break the Thesis</w:t>
      </w:r>
    </w:p>
    <w:p>
      <w:pPr>
        <w:spacing w:line="276" w:lineRule="auto"/>
        <w:jc w:val="both"/>
      </w:pPr>
      <w:r>
        <w:rPr>
          <w:rFonts w:ascii="Calibri" w:hAnsi="Calibri"/>
          <w:b w:val="0"/>
          <w:i w:val="0"/>
          <w:sz w:val="22"/>
        </w:rPr>
        <w:t>Each kill condition below is a discrete observable that, if triggered, forces exit or downgrade. All are monitored via daily EDGAR 8-K sweep, FDA communications tracking, and sibeprenlimab competitive readouts. Ordered approximately by probability of occurrence in the T-minus window.</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1 — Complete Response Letter (CRL).</w:t>
            </w:r>
          </w:p>
          <w:p>
            <w:pPr>
              <w:jc w:val="both"/>
            </w:pPr>
            <w:r>
              <w:rPr>
                <w:rFonts w:ascii="Calibri" w:hAnsi="Calibri"/>
                <w:sz w:val="22"/>
              </w:rPr>
              <w:t>Probability estimated at 10–15% given the designation stack, but non-zero. Trigger: FDA 8-K disclosure of CRL receipt or issuance before/at PDUFA. Action: immediate full exit. Expected price reaction -30% to -45% intraday, with the wider range reflecting whether CRL cites a specific remediable deficiency (mid-range negative) or a broader efficacy-concern signal (severe negative). No appeal strategy priced in.</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2 — Narrow-label approval (post-SoC-failure only).</w:t>
            </w:r>
          </w:p>
          <w:p>
            <w:pPr>
              <w:jc w:val="both"/>
            </w:pPr>
            <w:r>
              <w:rPr>
                <w:rFonts w:ascii="Calibri" w:hAnsi="Calibri"/>
                <w:sz w:val="22"/>
              </w:rPr>
              <w:t>Probability estimated at 10–15%. Trigger: label text discloses restriction to patients with inadequate response to RAASi + complement or endothelin receptor antagonist. Action: Downgrade from high conviction to hold; reduce position by ~50% on label print. Expected reaction -10% to -20% from pre-PDUFA spot on label-read.</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3 — PDUFA extension of 3 months or more with Major Amendment.</w:t>
            </w:r>
          </w:p>
          <w:p>
            <w:pPr>
              <w:jc w:val="both"/>
            </w:pPr>
            <w:r>
              <w:rPr>
                <w:rFonts w:ascii="Calibri" w:hAnsi="Calibri"/>
                <w:sz w:val="22"/>
              </w:rPr>
              <w:t>Probability estimated at 5–8%. Trigger: FDA 8-K disclosing PDUFA extension; content of the amendment (safety, CMC, efficacy) determines severity. Action: hold, downgrade 2 score-points, re-evaluate once amendment content is public. TVTX's own recent PDUFA experience (three-month extension that ultimately resulted in approval) is the precedent; outcome depends entirely on amendment content.</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4 — Class-wide or atacicept-specific safety signal.</w:t>
            </w:r>
          </w:p>
          <w:p>
            <w:pPr>
              <w:jc w:val="both"/>
            </w:pPr>
            <w:r>
              <w:rPr>
                <w:rFonts w:ascii="Calibri" w:hAnsi="Calibri"/>
                <w:sz w:val="22"/>
              </w:rPr>
              <w:t>Probability estimated at 3–5%. Trigger: FDA safety communication, ORIGIN open-label extension safety amendment, or B-cell-pathway class signal (opportunistic infection, malignancy). Action: Downgrade 5 score-points, re-evaluate based on specifics. Note: ORIGIN FAS showed SAEs numerically lower in atacicept vs placebo, so this is a tail risk, not a base-case concern.</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5 — Manufacturing/CMC deficiency disclosed in 8-K.</w:t>
            </w:r>
          </w:p>
          <w:p>
            <w:pPr>
              <w:jc w:val="both"/>
            </w:pPr>
            <w:r>
              <w:rPr>
                <w:rFonts w:ascii="Calibri" w:hAnsi="Calibri"/>
                <w:sz w:val="22"/>
              </w:rPr>
              <w:t>Probability estimated at 5%. Trigger: 8-K disclosure of FDA Form 483 observations, establishment inspection deficiencies, or CMC information requests. Action: Downgrade 3–5 score-points; often resolved but frequently causes PDUFA extension.</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6 — Deep Track or Point72 13G dilution / exit.</w:t>
            </w:r>
          </w:p>
          <w:p>
            <w:pPr>
              <w:jc w:val="both"/>
            </w:pPr>
            <w:r>
              <w:rPr>
                <w:rFonts w:ascii="Calibri" w:hAnsi="Calibri"/>
                <w:sz w:val="22"/>
              </w:rPr>
              <w:t>Probability estimated at 5–10%. Trigger: 13G/A filing showing Deep Track below 5% or Point72 exit. Action: Mild downgrade 1–2 points. Institutional conviction validation weakens but does not reverse the fundamental case. Note: Vanguard's zero 13G/A on 27 March 2026 was confirmed as administrative (SEC Release 34-39538 realignment), not a VERA-specific exit — this lesson applies to how future 13Gs are interpreted.</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7 — Sibeprenlimab Q1 2026 commercial disclosure showing dominant uptake.</w:t>
            </w:r>
          </w:p>
          <w:p>
            <w:pPr>
              <w:jc w:val="both"/>
            </w:pPr>
            <w:r>
              <w:rPr>
                <w:rFonts w:ascii="Calibri" w:hAnsi="Calibri"/>
                <w:sz w:val="22"/>
              </w:rPr>
              <w:t>Probability estimated at 10–15%. Trigger: Otsuka Q1 2026 earnings commentary (late April/early May) disclosing VOYXACT uptake materially above sell-side expectations. Action: Reduce position by ~25%; downgrade 2–3 score-points. A sibeprenlimab runaway win would compress atacicept's peak-sales model by shrinking the B-cell-pathway share available to capture.</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8 — Telitacicept US filing disclosure.</w:t>
            </w:r>
          </w:p>
          <w:p>
            <w:pPr>
              <w:jc w:val="both"/>
            </w:pPr>
            <w:r>
              <w:rPr>
                <w:rFonts w:ascii="Calibri" w:hAnsi="Calibri"/>
                <w:sz w:val="22"/>
              </w:rPr>
              <w:t>Probability estimated at &lt;5% within the PDUFA window. Trigger: RemeGen 8-K or SEC filing indicating active US BLA submission or partnership for ex-China atacicept analog. Action: Downgrade 1–2 points, do not exit. Post-approval concern, not pre-catalyst concern.</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9 — Sector shock or AA-pathway change.</w:t>
            </w:r>
          </w:p>
          <w:p>
            <w:pPr>
              <w:jc w:val="both"/>
            </w:pPr>
            <w:r>
              <w:rPr>
                <w:rFonts w:ascii="Calibri" w:hAnsi="Calibri"/>
                <w:sz w:val="22"/>
              </w:rPr>
              <w:t>Probability estimated at &lt;5%. Trigger: major biotech fraud event, FDA AA-pathway reform announcement, or a landmark AdCom vote against another AA application that reads across. Action: reduce by ~50%, re-evaluate daily.</w:t>
            </w:r>
          </w:p>
        </w:tc>
      </w:tr>
    </w:tbl>
    <w:p>
      <w:pPr>
        <w:spacing w:line="276" w:lineRule="auto"/>
      </w:pPr>
    </w:p>
    <w:p>
      <w:pPr>
        <w:spacing w:line="276" w:lineRule="auto"/>
        <w:jc w:val="both"/>
      </w:pPr>
      <w:r>
        <w:rPr>
          <w:rFonts w:ascii="Calibri" w:hAnsi="Calibri"/>
          <w:b/>
          <w:i w:val="0"/>
          <w:sz w:val="22"/>
        </w:rPr>
        <w:t>What would change my mind:</w:t>
      </w:r>
    </w:p>
    <w:p>
      <w:pPr>
        <w:pStyle w:val="ListBullet"/>
        <w:spacing w:line="276" w:lineRule="auto"/>
        <w:jc w:val="both"/>
      </w:pPr>
      <w:r>
        <w:rPr>
          <w:rFonts w:ascii="Calibri" w:hAnsi="Calibri"/>
          <w:sz w:val="22"/>
        </w:rPr>
        <w:t>A CRL, obviously — the thesis is approval-anchored. Any CRL, whether narrow-scope or broad, inverts the trade.</w:t>
      </w:r>
    </w:p>
    <w:p>
      <w:pPr>
        <w:pStyle w:val="ListBullet"/>
        <w:spacing w:line="276" w:lineRule="auto"/>
        <w:jc w:val="both"/>
      </w:pPr>
      <w:r>
        <w:rPr>
          <w:rFonts w:ascii="Calibri" w:hAnsi="Calibri"/>
          <w:sz w:val="22"/>
        </w:rPr>
        <w:t>Sibeprenlimab Q1 2026 uptake materially above consensus (&gt;$80M quarterly net revenue vs. consensus ~$40–50M) — the pricing-corridor logic assumes sibeprenlimab is a reasonable, not a dominant, competitor. Runaway sibeprenlimab uptake compresses atacicept's peak-sales model.</w:t>
      </w:r>
    </w:p>
    <w:p>
      <w:pPr>
        <w:pStyle w:val="ListBullet"/>
        <w:spacing w:line="276" w:lineRule="auto"/>
        <w:jc w:val="both"/>
      </w:pPr>
      <w:r>
        <w:rPr>
          <w:rFonts w:ascii="Calibri" w:hAnsi="Calibri"/>
          <w:sz w:val="22"/>
        </w:rPr>
        <w:t>ORIGIN open-label extension safety amendment showing any infection clustering, opportunistic infection, or malignancy signal. This is a low-probability tail but the event would reset the B-cell-pathway thesis entirely.</w:t>
      </w:r>
    </w:p>
    <w:p>
      <w:pPr>
        <w:pStyle w:val="ListBullet"/>
        <w:spacing w:line="276" w:lineRule="auto"/>
        <w:jc w:val="both"/>
      </w:pPr>
      <w:r>
        <w:rPr>
          <w:rFonts w:ascii="Calibri" w:hAnsi="Calibri"/>
          <w:sz w:val="22"/>
        </w:rPr>
        <w:t>FDA AdCom convening announcement. The absence of an AdCom is a meaningful de-risking signal today; its convening would be the single sharpest thesis-weakening event short of a CRL.</w:t>
      </w:r>
    </w:p>
    <w:p>
      <w:pPr>
        <w:pStyle w:val="ListBullet"/>
        <w:spacing w:line="276" w:lineRule="auto"/>
        <w:jc w:val="both"/>
      </w:pPr>
      <w:r>
        <w:rPr>
          <w:rFonts w:ascii="Calibri" w:hAnsi="Calibri"/>
          <w:sz w:val="22"/>
        </w:rPr>
        <w:t>A material change in my own commercial-positioning model (e.g., KOL surveys post-approval indicating atacicept is relegated to a 3rd-line role behind both RAASi+endothelin and sibeprenlimab). Re-score and re-size.</w:t>
      </w:r>
    </w:p>
    <w:p>
      <w:pPr>
        <w:spacing w:before="240" w:after="80" w:line="276" w:lineRule="auto"/>
      </w:pPr>
      <w:r>
        <w:rPr>
          <w:rFonts w:ascii="Calibri" w:hAnsi="Calibri"/>
          <w:b/>
          <w:sz w:val="36"/>
        </w:rPr>
        <w:t>A.9  Positioning</w:t>
      </w:r>
    </w:p>
    <w:p>
      <w:pPr>
        <w:spacing w:line="276" w:lineRule="auto"/>
        <w:jc w:val="both"/>
      </w:pPr>
      <w:r>
        <w:rPr>
          <w:rFonts w:ascii="Calibri" w:hAnsi="Calibri"/>
          <w:b/>
          <w:i w:val="0"/>
          <w:sz w:val="22"/>
        </w:rPr>
        <w:t>The core trade — long equity into catalyst.</w:t>
      </w:r>
    </w:p>
    <w:p>
      <w:pPr>
        <w:spacing w:line="276" w:lineRule="auto"/>
        <w:jc w:val="both"/>
      </w:pPr>
      <w:r>
        <w:rPr>
          <w:rFonts w:ascii="Calibri" w:hAnsi="Calibri"/>
          <w:b w:val="0"/>
          <w:i w:val="0"/>
          <w:sz w:val="22"/>
        </w:rPr>
        <w:t>Long equity, 3–6% of risk budget, staged entry 60/25/15 across today / T-30 (c. 7 June) / T-5 (c. 2 July). Target exit strategy: scale out 50% on approval print (taking risk off at the re-rating), retain 50% for label-breadth read over the following 10 trading days, and close the remainder on the first completed 2026 analyst model-reset cycle (estimated late July/early August).</w:t>
      </w:r>
    </w:p>
    <w:p>
      <w:pPr>
        <w:spacing w:line="276" w:lineRule="auto"/>
        <w:jc w:val="both"/>
      </w:pPr>
      <w:r>
        <w:rPr>
          <w:rFonts w:ascii="Calibri" w:hAnsi="Calibri"/>
          <w:b/>
          <w:i w:val="0"/>
          <w:sz w:val="22"/>
        </w:rPr>
        <w:t>The hedged trade — long equity plus OTM puts.</w:t>
      </w:r>
    </w:p>
    <w:p>
      <w:pPr>
        <w:spacing w:line="276" w:lineRule="auto"/>
        <w:jc w:val="both"/>
      </w:pPr>
      <w:r>
        <w:rPr>
          <w:rFonts w:ascii="Calibri" w:hAnsi="Calibri"/>
          <w:b w:val="0"/>
          <w:i w:val="0"/>
          <w:sz w:val="22"/>
        </w:rPr>
        <w:t>Long equity at half the core size (1.5–3% of risk budget); overlay 30-delta 6-July-2026 puts sized to cover roughly 50% of the equity dollar exposure. This pays for approximately 60% of the CRL downside in exchange for giving up ~8–12% of the base-case upside. Best executed between T-30 and T-14 when IV skew has steepened but term premium is not yet extreme.</w:t>
      </w:r>
    </w:p>
    <w:p>
      <w:pPr>
        <w:spacing w:line="276" w:lineRule="auto"/>
        <w:jc w:val="both"/>
      </w:pPr>
      <w:r>
        <w:rPr>
          <w:rFonts w:ascii="Calibri" w:hAnsi="Calibri"/>
          <w:b/>
          <w:i w:val="0"/>
          <w:sz w:val="22"/>
        </w:rPr>
        <w:t>The options-only trade — call spread.</w:t>
      </w:r>
    </w:p>
    <w:p>
      <w:pPr>
        <w:spacing w:line="276" w:lineRule="auto"/>
        <w:jc w:val="both"/>
      </w:pPr>
      <w:r>
        <w:rPr>
          <w:rFonts w:ascii="Calibri" w:hAnsi="Calibri"/>
          <w:b w:val="0"/>
          <w:i w:val="0"/>
          <w:sz w:val="22"/>
        </w:rPr>
        <w:t>July 2026 $55/$75 call spread, long lower strike, short upper strike. Maximum loss is the debit paid (approximately $4–5 at current IV); maximum gain $20 minus debit. Captures the base case fully and the bull case to the upper strike; surrenders the deep bull tail. Appropriate for capital-constrained or size-constrained expression, and for accounts that cannot tolerate the CRL left-tail of naked long equity.</w:t>
      </w:r>
    </w:p>
    <w:p>
      <w:pPr>
        <w:spacing w:line="276" w:lineRule="auto"/>
        <w:jc w:val="both"/>
      </w:pPr>
      <w:r>
        <w:rPr>
          <w:rFonts w:ascii="Calibri" w:hAnsi="Calibri"/>
          <w:b/>
          <w:i w:val="0"/>
          <w:sz w:val="22"/>
        </w:rPr>
        <w:t>What to avoid:</w:t>
      </w:r>
    </w:p>
    <w:p>
      <w:pPr>
        <w:pStyle w:val="ListBullet"/>
        <w:spacing w:line="276" w:lineRule="auto"/>
        <w:jc w:val="both"/>
      </w:pPr>
      <w:r>
        <w:rPr>
          <w:rFonts w:ascii="Calibri" w:hAnsi="Calibri"/>
          <w:sz w:val="22"/>
        </w:rPr>
        <w:t>Naked long calls. IV is already elevated; theta burn over 60 days makes long calls a losing trade in most non-bull scenarios.</w:t>
      </w:r>
    </w:p>
    <w:p>
      <w:pPr>
        <w:pStyle w:val="ListBullet"/>
        <w:spacing w:line="276" w:lineRule="auto"/>
        <w:jc w:val="both"/>
      </w:pPr>
      <w:r>
        <w:rPr>
          <w:rFonts w:ascii="Calibri" w:hAnsi="Calibri"/>
          <w:sz w:val="22"/>
        </w:rPr>
        <w:t>Short puts. Collect small premium; take full CRL left-tail. Worst risk/reward of all expressions.</w:t>
      </w:r>
    </w:p>
    <w:p>
      <w:pPr>
        <w:pStyle w:val="ListBullet"/>
        <w:spacing w:line="276" w:lineRule="auto"/>
        <w:jc w:val="both"/>
      </w:pPr>
      <w:r>
        <w:rPr>
          <w:rFonts w:ascii="Calibri" w:hAnsi="Calibri"/>
          <w:sz w:val="22"/>
        </w:rPr>
        <w:t>Pair trade vs sibeprenlimab / Otsuka ADR. Otsuka is a diversified Japanese conglomerate; it is not a mechanistically clean short and the beta overlap is low.</w:t>
      </w:r>
    </w:p>
    <w:p>
      <w:pPr>
        <w:pStyle w:val="ListBullet"/>
        <w:spacing w:line="276" w:lineRule="auto"/>
        <w:jc w:val="both"/>
      </w:pPr>
      <w:r>
        <w:rPr>
          <w:rFonts w:ascii="Calibri" w:hAnsi="Calibri"/>
          <w:sz w:val="22"/>
        </w:rPr>
        <w:t>Lump-sum entry today at the high. The 10 April +10% spike indicates short-term crowding; staging reduces adverse-selection risk on the initial leg.</w:t>
      </w:r>
    </w:p>
    <w:p>
      <w:pPr>
        <w:spacing w:line="276" w:lineRule="auto"/>
        <w:jc w:val="both"/>
      </w:pPr>
      <w:r>
        <w:rPr>
          <w:rFonts w:ascii="Calibri" w:hAnsi="Calibri"/>
          <w:b/>
          <w:i w:val="0"/>
          <w:sz w:val="22"/>
        </w:rPr>
        <w:t>Sizing framework:</w:t>
      </w:r>
    </w:p>
    <w:p>
      <w:pPr>
        <w:pStyle w:val="ListBullet"/>
        <w:spacing w:line="276" w:lineRule="auto"/>
        <w:jc w:val="both"/>
      </w:pPr>
      <w:r>
        <w:rPr>
          <w:rFonts w:ascii="Calibri" w:hAnsi="Calibri"/>
          <w:sz w:val="22"/>
        </w:rPr>
        <w:t>Core trade: 3–6% of risk budget, staged 60/25/15.</w:t>
      </w:r>
    </w:p>
    <w:p>
      <w:pPr>
        <w:pStyle w:val="ListBullet"/>
        <w:spacing w:line="276" w:lineRule="auto"/>
        <w:jc w:val="both"/>
      </w:pPr>
      <w:r>
        <w:rPr>
          <w:rFonts w:ascii="Calibri" w:hAnsi="Calibri"/>
          <w:sz w:val="22"/>
        </w:rPr>
        <w:t>Hedged trade: 1.5–3% equity + put overlay covering 50% of equity notional.</w:t>
      </w:r>
    </w:p>
    <w:p>
      <w:pPr>
        <w:pStyle w:val="ListBullet"/>
        <w:spacing w:line="276" w:lineRule="auto"/>
        <w:jc w:val="both"/>
      </w:pPr>
      <w:r>
        <w:rPr>
          <w:rFonts w:ascii="Calibri" w:hAnsi="Calibri"/>
          <w:sz w:val="22"/>
        </w:rPr>
        <w:t>Options-only trade: risk-budget equivalent ≤ 1.5% (premium-at-risk basis).</w:t>
      </w:r>
    </w:p>
    <w:p>
      <w:pPr>
        <w:pStyle w:val="ListBullet"/>
        <w:spacing w:line="276" w:lineRule="auto"/>
        <w:jc w:val="both"/>
      </w:pPr>
      <w:r>
        <w:rPr>
          <w:rFonts w:ascii="Calibri" w:hAnsi="Calibri"/>
          <w:sz w:val="22"/>
        </w:rPr>
        <w:t>Combined maximum single-name exposure (equity + options delta): cap at 8% of risk budget given binary catalyst concentration.</w:t>
      </w:r>
    </w:p>
    <w:p>
      <w:pPr>
        <w:pStyle w:val="ListBullet"/>
        <w:spacing w:line="276" w:lineRule="auto"/>
        <w:jc w:val="both"/>
      </w:pPr>
      <w:r>
        <w:rPr>
          <w:rFonts w:ascii="Calibri" w:hAnsi="Calibri"/>
          <w:sz w:val="22"/>
        </w:rPr>
        <w:t>Correlation adjustment: if already holding AXSM long into the 30 April PDUFA, reduce VERA core by 25% to manage biotech-binary concentration.</w:t>
      </w:r>
    </w:p>
    <w:p>
      <w:pPr>
        <w:spacing w:before="240" w:after="80" w:line="276" w:lineRule="auto"/>
      </w:pPr>
      <w:r>
        <w:rPr>
          <w:rFonts w:ascii="Calibri" w:hAnsi="Calibri"/>
          <w:b/>
          <w:sz w:val="36"/>
        </w:rPr>
        <w:t>A.10  Catalyst Calendar</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D9D9D9"/>
          </w:tcPr>
          <w:p>
            <w:r/>
            <w:r>
              <w:rPr>
                <w:rFonts w:ascii="Calibri" w:hAnsi="Calibri"/>
                <w:b/>
                <w:sz w:val="20"/>
              </w:rPr>
              <w:t>Date</w:t>
            </w:r>
          </w:p>
        </w:tc>
        <w:tc>
          <w:tcPr>
            <w:tcW w:type="dxa" w:w="3168"/>
            <w:shd w:val="clear" w:color="auto" w:fill="D9D9D9"/>
          </w:tcPr>
          <w:p>
            <w:r/>
            <w:r>
              <w:rPr>
                <w:rFonts w:ascii="Calibri" w:hAnsi="Calibri"/>
                <w:b/>
                <w:sz w:val="20"/>
              </w:rPr>
              <w:t>Event</w:t>
            </w:r>
          </w:p>
        </w:tc>
        <w:tc>
          <w:tcPr>
            <w:tcW w:type="dxa" w:w="4320"/>
            <w:shd w:val="clear" w:color="auto" w:fill="D9D9D9"/>
          </w:tcPr>
          <w:p>
            <w:r/>
            <w:r>
              <w:rPr>
                <w:rFonts w:ascii="Calibri" w:hAnsi="Calibri"/>
                <w:b/>
                <w:sz w:val="20"/>
              </w:rPr>
              <w:t>What to watch</w:t>
            </w:r>
          </w:p>
        </w:tc>
      </w:tr>
      <w:tr>
        <w:tc>
          <w:tcPr>
            <w:tcW w:type="dxa" w:w="2016"/>
          </w:tcPr>
          <w:p>
            <w:r/>
            <w:r>
              <w:rPr>
                <w:rFonts w:ascii="Calibri" w:hAnsi="Calibri"/>
                <w:sz w:val="20"/>
              </w:rPr>
              <w:t>14 Apr 2026 (today)</w:t>
            </w:r>
          </w:p>
        </w:tc>
        <w:tc>
          <w:tcPr>
            <w:tcW w:type="dxa" w:w="3168"/>
          </w:tcPr>
          <w:p>
            <w:r/>
            <w:r>
              <w:rPr>
                <w:rFonts w:ascii="Calibri" w:hAnsi="Calibri"/>
                <w:sz w:val="20"/>
              </w:rPr>
              <w:t>Thesis initiation; initial 60% entry</w:t>
            </w:r>
          </w:p>
        </w:tc>
        <w:tc>
          <w:tcPr>
            <w:tcW w:type="dxa" w:w="4320"/>
          </w:tcPr>
          <w:p>
            <w:r/>
            <w:r>
              <w:rPr>
                <w:rFonts w:ascii="Calibri" w:hAnsi="Calibri"/>
                <w:sz w:val="20"/>
              </w:rPr>
              <w:t>Entry tape; any hidden selling pressure below $44</w:t>
            </w:r>
          </w:p>
        </w:tc>
      </w:tr>
      <w:tr>
        <w:tc>
          <w:tcPr>
            <w:tcW w:type="dxa" w:w="2016"/>
          </w:tcPr>
          <w:p>
            <w:r/>
            <w:r>
              <w:rPr>
                <w:rFonts w:ascii="Calibri" w:hAnsi="Calibri"/>
                <w:sz w:val="20"/>
              </w:rPr>
              <w:t>Week of 28 Apr 2026</w:t>
            </w:r>
          </w:p>
        </w:tc>
        <w:tc>
          <w:tcPr>
            <w:tcW w:type="dxa" w:w="3168"/>
          </w:tcPr>
          <w:p>
            <w:r/>
            <w:r>
              <w:rPr>
                <w:rFonts w:ascii="Calibri" w:hAnsi="Calibri"/>
                <w:sz w:val="20"/>
              </w:rPr>
              <w:t>Q1 2026 earnings for peer IgAN franchises</w:t>
            </w:r>
          </w:p>
        </w:tc>
        <w:tc>
          <w:tcPr>
            <w:tcW w:type="dxa" w:w="4320"/>
          </w:tcPr>
          <w:p>
            <w:r/>
            <w:r>
              <w:rPr>
                <w:rFonts w:ascii="Calibri" w:hAnsi="Calibri"/>
                <w:sz w:val="20"/>
              </w:rPr>
              <w:t>Fabhalta IgAN uptake (Novartis); Filspari IgAN trajectory (Travere)</w:t>
            </w:r>
          </w:p>
        </w:tc>
      </w:tr>
      <w:tr>
        <w:tc>
          <w:tcPr>
            <w:tcW w:type="dxa" w:w="2016"/>
          </w:tcPr>
          <w:p>
            <w:r/>
            <w:r>
              <w:rPr>
                <w:rFonts w:ascii="Calibri" w:hAnsi="Calibri"/>
                <w:sz w:val="20"/>
              </w:rPr>
              <w:t>30 Apr 2026</w:t>
            </w:r>
          </w:p>
        </w:tc>
        <w:tc>
          <w:tcPr>
            <w:tcW w:type="dxa" w:w="3168"/>
          </w:tcPr>
          <w:p>
            <w:r/>
            <w:r>
              <w:rPr>
                <w:rFonts w:ascii="Calibri" w:hAnsi="Calibri"/>
                <w:sz w:val="20"/>
              </w:rPr>
              <w:t>AXSM PDUFA (separate candidate)</w:t>
            </w:r>
          </w:p>
        </w:tc>
        <w:tc>
          <w:tcPr>
            <w:tcW w:type="dxa" w:w="4320"/>
          </w:tcPr>
          <w:p>
            <w:r/>
            <w:r>
              <w:rPr>
                <w:rFonts w:ascii="Calibri" w:hAnsi="Calibri"/>
                <w:sz w:val="20"/>
              </w:rPr>
              <w:t>Biotech-sentiment read-through; small beta effect on VERA</w:t>
            </w:r>
          </w:p>
        </w:tc>
      </w:tr>
      <w:tr>
        <w:tc>
          <w:tcPr>
            <w:tcW w:type="dxa" w:w="2016"/>
          </w:tcPr>
          <w:p>
            <w:r/>
            <w:r>
              <w:rPr>
                <w:rFonts w:ascii="Calibri" w:hAnsi="Calibri"/>
                <w:sz w:val="20"/>
              </w:rPr>
              <w:t>Late Apr / early May 2026</w:t>
            </w:r>
          </w:p>
        </w:tc>
        <w:tc>
          <w:tcPr>
            <w:tcW w:type="dxa" w:w="3168"/>
          </w:tcPr>
          <w:p>
            <w:r/>
            <w:r>
              <w:rPr>
                <w:rFonts w:ascii="Calibri" w:hAnsi="Calibri"/>
                <w:sz w:val="20"/>
              </w:rPr>
              <w:t>Otsuka Q4 FY2025 (Apr fiscal) earnings</w:t>
            </w:r>
          </w:p>
        </w:tc>
        <w:tc>
          <w:tcPr>
            <w:tcW w:type="dxa" w:w="4320"/>
          </w:tcPr>
          <w:p>
            <w:r/>
            <w:r>
              <w:rPr>
                <w:rFonts w:ascii="Calibri" w:hAnsi="Calibri"/>
                <w:sz w:val="20"/>
              </w:rPr>
              <w:t>VOYXACT first full quarter uptake — critical for kill-condition 7</w:t>
            </w:r>
          </w:p>
        </w:tc>
      </w:tr>
      <w:tr>
        <w:tc>
          <w:tcPr>
            <w:tcW w:type="dxa" w:w="2016"/>
          </w:tcPr>
          <w:p>
            <w:r/>
            <w:r>
              <w:rPr>
                <w:rFonts w:ascii="Calibri" w:hAnsi="Calibri"/>
                <w:sz w:val="20"/>
              </w:rPr>
              <w:t>Early–mid May 2026</w:t>
            </w:r>
          </w:p>
        </w:tc>
        <w:tc>
          <w:tcPr>
            <w:tcW w:type="dxa" w:w="3168"/>
          </w:tcPr>
          <w:p>
            <w:r/>
            <w:r>
              <w:rPr>
                <w:rFonts w:ascii="Calibri" w:hAnsi="Calibri"/>
                <w:sz w:val="20"/>
              </w:rPr>
              <w:t>Vera Q1 2026 earnings (est.)</w:t>
            </w:r>
          </w:p>
        </w:tc>
        <w:tc>
          <w:tcPr>
            <w:tcW w:type="dxa" w:w="4320"/>
          </w:tcPr>
          <w:p>
            <w:r/>
            <w:r>
              <w:rPr>
                <w:rFonts w:ascii="Calibri" w:hAnsi="Calibri"/>
                <w:sz w:val="20"/>
              </w:rPr>
              <w:t>Commercial launch-readiness tone; cash runway; any FDA interaction commentary</w:t>
            </w:r>
          </w:p>
        </w:tc>
      </w:tr>
      <w:tr>
        <w:tc>
          <w:tcPr>
            <w:tcW w:type="dxa" w:w="2016"/>
          </w:tcPr>
          <w:p>
            <w:r/>
            <w:r>
              <w:rPr>
                <w:rFonts w:ascii="Calibri" w:hAnsi="Calibri"/>
                <w:sz w:val="20"/>
              </w:rPr>
              <w:t>H1 2026 (window)</w:t>
            </w:r>
          </w:p>
        </w:tc>
        <w:tc>
          <w:tcPr>
            <w:tcW w:type="dxa" w:w="3168"/>
          </w:tcPr>
          <w:p>
            <w:r/>
            <w:r>
              <w:rPr>
                <w:rFonts w:ascii="Calibri" w:hAnsi="Calibri"/>
                <w:sz w:val="20"/>
              </w:rPr>
              <w:t>PIONEER Phase 2 lupus nephritis initial results</w:t>
            </w:r>
          </w:p>
        </w:tc>
        <w:tc>
          <w:tcPr>
            <w:tcW w:type="dxa" w:w="4320"/>
          </w:tcPr>
          <w:p>
            <w:r/>
            <w:r>
              <w:rPr>
                <w:rFonts w:ascii="Calibri" w:hAnsi="Calibri"/>
                <w:sz w:val="20"/>
              </w:rPr>
              <w:t>If positive: platform optionality confirmed. If negative: narrows thesis to IgAN only.</w:t>
            </w:r>
          </w:p>
        </w:tc>
      </w:tr>
      <w:tr>
        <w:tc>
          <w:tcPr>
            <w:tcW w:type="dxa" w:w="2016"/>
          </w:tcPr>
          <w:p>
            <w:r/>
            <w:r>
              <w:rPr>
                <w:rFonts w:ascii="Calibri" w:hAnsi="Calibri"/>
                <w:sz w:val="20"/>
              </w:rPr>
              <w:t>Week of 1 Jun 2026</w:t>
            </w:r>
          </w:p>
        </w:tc>
        <w:tc>
          <w:tcPr>
            <w:tcW w:type="dxa" w:w="3168"/>
          </w:tcPr>
          <w:p>
            <w:r/>
            <w:r>
              <w:rPr>
                <w:rFonts w:ascii="Calibri" w:hAnsi="Calibri"/>
                <w:sz w:val="20"/>
              </w:rPr>
              <w:t>T-minus-30 review milestone</w:t>
            </w:r>
          </w:p>
        </w:tc>
        <w:tc>
          <w:tcPr>
            <w:tcW w:type="dxa" w:w="4320"/>
          </w:tcPr>
          <w:p>
            <w:r/>
            <w:r>
              <w:rPr>
                <w:rFonts w:ascii="Calibri" w:hAnsi="Calibri"/>
                <w:sz w:val="20"/>
              </w:rPr>
              <w:t>Re-evaluate entry pace; execute 25% leg if thesis intact</w:t>
            </w:r>
          </w:p>
        </w:tc>
      </w:tr>
      <w:tr>
        <w:tc>
          <w:tcPr>
            <w:tcW w:type="dxa" w:w="2016"/>
          </w:tcPr>
          <w:p>
            <w:r/>
            <w:r>
              <w:rPr>
                <w:rFonts w:ascii="Calibri" w:hAnsi="Calibri"/>
                <w:sz w:val="20"/>
              </w:rPr>
              <w:t>7 Jun 2026</w:t>
            </w:r>
          </w:p>
        </w:tc>
        <w:tc>
          <w:tcPr>
            <w:tcW w:type="dxa" w:w="3168"/>
          </w:tcPr>
          <w:p>
            <w:r/>
            <w:r>
              <w:rPr>
                <w:rFonts w:ascii="Calibri" w:hAnsi="Calibri"/>
                <w:sz w:val="20"/>
              </w:rPr>
              <w:t>Start daily kill-sweep monitoring (T-30)</w:t>
            </w:r>
          </w:p>
        </w:tc>
        <w:tc>
          <w:tcPr>
            <w:tcW w:type="dxa" w:w="4320"/>
          </w:tcPr>
          <w:p>
            <w:r/>
            <w:r>
              <w:rPr>
                <w:rFonts w:ascii="Calibri" w:hAnsi="Calibri"/>
                <w:sz w:val="20"/>
              </w:rPr>
              <w:t>EDGAR 8-K, FDA comms, competitive readouts</w:t>
            </w:r>
          </w:p>
        </w:tc>
      </w:tr>
      <w:tr>
        <w:tc>
          <w:tcPr>
            <w:tcW w:type="dxa" w:w="2016"/>
          </w:tcPr>
          <w:p>
            <w:r/>
            <w:r>
              <w:rPr>
                <w:rFonts w:ascii="Calibri" w:hAnsi="Calibri"/>
                <w:sz w:val="20"/>
              </w:rPr>
              <w:t>Mid-Jun 2026</w:t>
            </w:r>
          </w:p>
        </w:tc>
        <w:tc>
          <w:tcPr>
            <w:tcW w:type="dxa" w:w="3168"/>
          </w:tcPr>
          <w:p>
            <w:r/>
            <w:r>
              <w:rPr>
                <w:rFonts w:ascii="Calibri" w:hAnsi="Calibri"/>
                <w:sz w:val="20"/>
              </w:rPr>
              <w:t>ERA (European Renal Association) Congress</w:t>
            </w:r>
          </w:p>
        </w:tc>
        <w:tc>
          <w:tcPr>
            <w:tcW w:type="dxa" w:w="4320"/>
          </w:tcPr>
          <w:p>
            <w:r/>
            <w:r>
              <w:rPr>
                <w:rFonts w:ascii="Calibri" w:hAnsi="Calibri"/>
                <w:sz w:val="20"/>
              </w:rPr>
              <w:t>Atacicept late-breaker or sub-analysis; sibeprenlimab follow-on data</w:t>
            </w:r>
          </w:p>
        </w:tc>
      </w:tr>
      <w:tr>
        <w:tc>
          <w:tcPr>
            <w:tcW w:type="dxa" w:w="2016"/>
          </w:tcPr>
          <w:p>
            <w:r/>
            <w:r>
              <w:rPr>
                <w:rFonts w:ascii="Calibri" w:hAnsi="Calibri"/>
                <w:sz w:val="20"/>
              </w:rPr>
              <w:t>Late Jun 2026</w:t>
            </w:r>
          </w:p>
        </w:tc>
        <w:tc>
          <w:tcPr>
            <w:tcW w:type="dxa" w:w="3168"/>
          </w:tcPr>
          <w:p>
            <w:r/>
            <w:r>
              <w:rPr>
                <w:rFonts w:ascii="Calibri" w:hAnsi="Calibri"/>
                <w:sz w:val="20"/>
              </w:rPr>
              <w:t>T-minus-14 intensive window</w:t>
            </w:r>
          </w:p>
        </w:tc>
        <w:tc>
          <w:tcPr>
            <w:tcW w:type="dxa" w:w="4320"/>
          </w:tcPr>
          <w:p>
            <w:r/>
            <w:r>
              <w:rPr>
                <w:rFonts w:ascii="Calibri" w:hAnsi="Calibri"/>
                <w:sz w:val="20"/>
              </w:rPr>
              <w:t>All kill-conditions checked daily; hedge deployment if chosen</w:t>
            </w:r>
          </w:p>
        </w:tc>
      </w:tr>
      <w:tr>
        <w:tc>
          <w:tcPr>
            <w:tcW w:type="dxa" w:w="2016"/>
          </w:tcPr>
          <w:p>
            <w:r/>
            <w:r>
              <w:rPr>
                <w:rFonts w:ascii="Calibri" w:hAnsi="Calibri"/>
                <w:sz w:val="20"/>
              </w:rPr>
              <w:t>2 Jul 2026</w:t>
            </w:r>
          </w:p>
        </w:tc>
        <w:tc>
          <w:tcPr>
            <w:tcW w:type="dxa" w:w="3168"/>
          </w:tcPr>
          <w:p>
            <w:r/>
            <w:r>
              <w:rPr>
                <w:rFonts w:ascii="Calibri" w:hAnsi="Calibri"/>
                <w:sz w:val="20"/>
              </w:rPr>
              <w:t>T-minus-5; final 15% entry leg</w:t>
            </w:r>
          </w:p>
        </w:tc>
        <w:tc>
          <w:tcPr>
            <w:tcW w:type="dxa" w:w="4320"/>
          </w:tcPr>
          <w:p>
            <w:r/>
            <w:r>
              <w:rPr>
                <w:rFonts w:ascii="Calibri" w:hAnsi="Calibri"/>
                <w:sz w:val="20"/>
              </w:rPr>
              <w:t>Pre-PDUFA tape-read; IV skew final check</w:t>
            </w:r>
          </w:p>
        </w:tc>
      </w:tr>
      <w:tr>
        <w:tc>
          <w:tcPr>
            <w:tcW w:type="dxa" w:w="2016"/>
          </w:tcPr>
          <w:p>
            <w:r/>
            <w:r>
              <w:rPr>
                <w:rFonts w:ascii="Calibri" w:hAnsi="Calibri"/>
                <w:sz w:val="20"/>
              </w:rPr>
              <w:t>7 Jul 2026</w:t>
            </w:r>
          </w:p>
        </w:tc>
        <w:tc>
          <w:tcPr>
            <w:tcW w:type="dxa" w:w="3168"/>
          </w:tcPr>
          <w:p>
            <w:r/>
            <w:r>
              <w:rPr>
                <w:rFonts w:ascii="Calibri" w:hAnsi="Calibri"/>
                <w:sz w:val="20"/>
              </w:rPr>
              <w:t>PDUFA TARGET ACTION DATE</w:t>
            </w:r>
          </w:p>
        </w:tc>
        <w:tc>
          <w:tcPr>
            <w:tcW w:type="dxa" w:w="4320"/>
          </w:tcPr>
          <w:p>
            <w:r/>
            <w:r>
              <w:rPr>
                <w:rFonts w:ascii="Calibri" w:hAnsi="Calibri"/>
                <w:sz w:val="20"/>
              </w:rPr>
              <w:t>Approval → scale 50% out; CRL → immediate full exit; Label read on day 0–10</w:t>
            </w:r>
          </w:p>
        </w:tc>
      </w:tr>
      <w:tr>
        <w:tc>
          <w:tcPr>
            <w:tcW w:type="dxa" w:w="2016"/>
          </w:tcPr>
          <w:p>
            <w:r/>
            <w:r>
              <w:rPr>
                <w:rFonts w:ascii="Calibri" w:hAnsi="Calibri"/>
                <w:sz w:val="20"/>
              </w:rPr>
              <w:t>Week of 14 Jul 2026</w:t>
            </w:r>
          </w:p>
        </w:tc>
        <w:tc>
          <w:tcPr>
            <w:tcW w:type="dxa" w:w="3168"/>
          </w:tcPr>
          <w:p>
            <w:r/>
            <w:r>
              <w:rPr>
                <w:rFonts w:ascii="Calibri" w:hAnsi="Calibri"/>
                <w:sz w:val="20"/>
              </w:rPr>
              <w:t>Post-approval analyst model resets begin</w:t>
            </w:r>
          </w:p>
        </w:tc>
        <w:tc>
          <w:tcPr>
            <w:tcW w:type="dxa" w:w="4320"/>
          </w:tcPr>
          <w:p>
            <w:r/>
            <w:r>
              <w:rPr>
                <w:rFonts w:ascii="Calibri" w:hAnsi="Calibri"/>
                <w:sz w:val="20"/>
              </w:rPr>
              <w:t>Look for first atacicept-vs-VOYXACT pricing comparables from sell-side</w:t>
            </w:r>
          </w:p>
        </w:tc>
      </w:tr>
      <w:tr>
        <w:tc>
          <w:tcPr>
            <w:tcW w:type="dxa" w:w="2016"/>
          </w:tcPr>
          <w:p>
            <w:r/>
            <w:r>
              <w:rPr>
                <w:rFonts w:ascii="Calibri" w:hAnsi="Calibri"/>
                <w:sz w:val="20"/>
              </w:rPr>
              <w:t>Aug 2026</w:t>
            </w:r>
          </w:p>
        </w:tc>
        <w:tc>
          <w:tcPr>
            <w:tcW w:type="dxa" w:w="3168"/>
          </w:tcPr>
          <w:p>
            <w:r/>
            <w:r>
              <w:rPr>
                <w:rFonts w:ascii="Calibri" w:hAnsi="Calibri"/>
                <w:sz w:val="20"/>
              </w:rPr>
              <w:t>Q2 2026 earnings window — Vera &amp; Otsuka</w:t>
            </w:r>
          </w:p>
        </w:tc>
        <w:tc>
          <w:tcPr>
            <w:tcW w:type="dxa" w:w="4320"/>
          </w:tcPr>
          <w:p>
            <w:r/>
            <w:r>
              <w:rPr>
                <w:rFonts w:ascii="Calibri" w:hAnsi="Calibri"/>
                <w:sz w:val="20"/>
              </w:rPr>
              <w:t>Launch trajectory vs. plan; first comparable uptake data</w:t>
            </w:r>
          </w:p>
        </w:tc>
      </w:tr>
      <w:tr>
        <w:tc>
          <w:tcPr>
            <w:tcW w:type="dxa" w:w="2016"/>
          </w:tcPr>
          <w:p>
            <w:r/>
            <w:r>
              <w:rPr>
                <w:rFonts w:ascii="Calibri" w:hAnsi="Calibri"/>
                <w:sz w:val="20"/>
              </w:rPr>
              <w:t>Late Aug 2026</w:t>
            </w:r>
          </w:p>
        </w:tc>
        <w:tc>
          <w:tcPr>
            <w:tcW w:type="dxa" w:w="3168"/>
          </w:tcPr>
          <w:p>
            <w:r/>
            <w:r>
              <w:rPr>
                <w:rFonts w:ascii="Calibri" w:hAnsi="Calibri"/>
                <w:sz w:val="20"/>
              </w:rPr>
              <w:t>Close residual position on model-reset cycle</w:t>
            </w:r>
          </w:p>
        </w:tc>
        <w:tc>
          <w:tcPr>
            <w:tcW w:type="dxa" w:w="4320"/>
          </w:tcPr>
          <w:p>
            <w:r/>
            <w:r>
              <w:rPr>
                <w:rFonts w:ascii="Calibri" w:hAnsi="Calibri"/>
                <w:sz w:val="20"/>
              </w:rPr>
              <w:t>Target exit window for the final 25–50% of core size</w:t>
            </w:r>
          </w:p>
        </w:tc>
      </w:tr>
    </w:tbl>
    <w:p>
      <w:pPr>
        <w:spacing w:before="240" w:after="80" w:line="276" w:lineRule="auto"/>
      </w:pPr>
      <w:r>
        <w:rPr>
          <w:rFonts w:ascii="Calibri" w:hAnsi="Calibri"/>
          <w:b/>
          <w:sz w:val="36"/>
        </w:rPr>
        <w:t>A.11  Verdict</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VERA — Buy, high conviction. Score 30.5 / 42.5. T-minus 84 calendar days to PDUFA 7 July 2026.</w:t>
            </w:r>
          </w:p>
          <w:p>
            <w:pPr>
              <w:jc w:val="both"/>
            </w:pPr>
            <w:r>
              <w:rPr>
                <w:rFonts w:ascii="Calibri" w:hAnsi="Calibri"/>
                <w:sz w:val="22"/>
              </w:rPr>
              <w:t>Vera Therapeutics has the most complete dataset in the IgA Nephropathy class, the strongest regulatory-signal stack short of a formal FDA pre-approval letter, and the cleanest mechanistic differentiation of any late-entrant IgAN biologic. The approval probability is high; the market is instead mis-pricing the commercial positioning against a single mechanistic comparator (sibeprenlimab/VOYXACT) that itself was approved at a premium anchor five months ago. Institutional conviction is on the tape (Deep Track, Point72), commercial-team buildout is on the tape (89-head inducement grant), strategic optionality is on the tape (Hite board seat). Entry today, staged, with the kill-condition ladder active. Probability-weighted expected return approximately +30% to +42% with a right-skewed distribution.</w:t>
            </w:r>
          </w:p>
        </w:tc>
      </w:tr>
    </w:tbl>
    <w:p>
      <w:pPr>
        <w:spacing w:line="276" w:lineRule="auto"/>
        <w:jc w:val="both"/>
      </w:pPr>
      <w:r>
        <w:rPr>
          <w:rFonts w:ascii="Calibri" w:hAnsi="Calibri"/>
          <w:b/>
          <w:i w:val="0"/>
          <w:sz w:val="22"/>
        </w:rPr>
        <w:t>What this thesis does NOT claim:</w:t>
      </w:r>
    </w:p>
    <w:p>
      <w:pPr>
        <w:pStyle w:val="ListBullet"/>
        <w:spacing w:line="276" w:lineRule="auto"/>
        <w:jc w:val="both"/>
      </w:pPr>
      <w:r>
        <w:rPr>
          <w:rFonts w:ascii="Calibri" w:hAnsi="Calibri"/>
          <w:sz w:val="22"/>
        </w:rPr>
        <w:t>It does not claim approval is certain. The base-case approval probability is high (~85–90%) but not guaranteed; the Kill-Condition ladder is explicit about how a CRL scenario is managed.</w:t>
      </w:r>
    </w:p>
    <w:p>
      <w:pPr>
        <w:pStyle w:val="ListBullet"/>
        <w:spacing w:line="276" w:lineRule="auto"/>
        <w:jc w:val="both"/>
      </w:pPr>
      <w:r>
        <w:rPr>
          <w:rFonts w:ascii="Calibri" w:hAnsi="Calibri"/>
          <w:sz w:val="22"/>
        </w:rPr>
        <w:t>It does not claim atacicept will become the category leader. The thesis works at ~1–2% peak penetration of the treatable pool; category leadership is upside, not base case.</w:t>
      </w:r>
    </w:p>
    <w:p>
      <w:pPr>
        <w:pStyle w:val="ListBullet"/>
        <w:spacing w:line="276" w:lineRule="auto"/>
        <w:jc w:val="both"/>
      </w:pPr>
      <w:r>
        <w:rPr>
          <w:rFonts w:ascii="Calibri" w:hAnsi="Calibri"/>
          <w:sz w:val="22"/>
        </w:rPr>
        <w:t>It does not claim M&amp;A is imminent. Hite's board seat is an optionality signal, not a priced-in probability. Sizing does not depend on strategic outcomes.</w:t>
      </w:r>
    </w:p>
    <w:p>
      <w:pPr>
        <w:pStyle w:val="ListBullet"/>
        <w:spacing w:line="276" w:lineRule="auto"/>
        <w:jc w:val="both"/>
      </w:pPr>
      <w:r>
        <w:rPr>
          <w:rFonts w:ascii="Calibri" w:hAnsi="Calibri"/>
          <w:sz w:val="22"/>
        </w:rPr>
        <w:t>It does not claim the 7-dimension score is a probability. 30.5/42.5 is a rank-ordering heuristic, not a P(approval).</w:t>
      </w:r>
    </w:p>
    <w:p>
      <w:pPr>
        <w:pStyle w:val="ListBullet"/>
        <w:spacing w:line="276" w:lineRule="auto"/>
        <w:jc w:val="both"/>
      </w:pPr>
      <w:r>
        <w:rPr>
          <w:rFonts w:ascii="Calibri" w:hAnsi="Calibri"/>
          <w:sz w:val="22"/>
        </w:rPr>
        <w:t>It does not claim sibeprenlimab has failed — only that it is a complementary, not substitutive, competitor in the current mechanistic landscape.</w:t>
      </w:r>
    </w:p>
    <w:p>
      <w:pPr>
        <w:spacing w:line="276" w:lineRule="auto"/>
        <w:jc w:val="both"/>
      </w:pPr>
      <w:r>
        <w:rPr>
          <w:rFonts w:ascii="Calibri" w:hAnsi="Calibri"/>
          <w:b/>
          <w:i w:val="0"/>
          <w:sz w:val="22"/>
        </w:rPr>
        <w:t>What this thesis DOES claim:</w:t>
      </w:r>
    </w:p>
    <w:p>
      <w:pPr>
        <w:pStyle w:val="ListBullet"/>
        <w:spacing w:line="276" w:lineRule="auto"/>
        <w:jc w:val="both"/>
      </w:pPr>
      <w:r>
        <w:rPr>
          <w:rFonts w:ascii="Calibri" w:hAnsi="Calibri"/>
          <w:sz w:val="22"/>
        </w:rPr>
        <w:t>The regulatory designation stack + NEJM primary dataset + no AdCom implies a materially-above-class approval probability on 7 July 2026.</w:t>
      </w:r>
    </w:p>
    <w:p>
      <w:pPr>
        <w:pStyle w:val="ListBullet"/>
        <w:spacing w:line="276" w:lineRule="auto"/>
        <w:jc w:val="both"/>
      </w:pPr>
      <w:r>
        <w:rPr>
          <w:rFonts w:ascii="Calibri" w:hAnsi="Calibri"/>
          <w:sz w:val="22"/>
        </w:rPr>
        <w:t>The market's commercial model is mis-anchored to standard IgAN comparables rather than the single true mechanistic comparator (VOYXACT), under-pricing the revenue path.</w:t>
      </w:r>
    </w:p>
    <w:p>
      <w:pPr>
        <w:pStyle w:val="ListBullet"/>
        <w:spacing w:line="276" w:lineRule="auto"/>
        <w:jc w:val="both"/>
      </w:pPr>
      <w:r>
        <w:rPr>
          <w:rFonts w:ascii="Calibri" w:hAnsi="Calibri"/>
          <w:sz w:val="22"/>
        </w:rPr>
        <w:t>Mechanistic differentiation on dual BAFF+APRIL — expressed in the Gd-IgA1 and hematuria secondary endpoints — is genuine and will drive KOL preference in label-agnostic prescribing scenarios.</w:t>
      </w:r>
    </w:p>
    <w:p>
      <w:pPr>
        <w:pStyle w:val="ListBullet"/>
        <w:spacing w:line="276" w:lineRule="auto"/>
        <w:jc w:val="both"/>
      </w:pPr>
      <w:r>
        <w:rPr>
          <w:rFonts w:ascii="Calibri" w:hAnsi="Calibri"/>
          <w:sz w:val="22"/>
        </w:rPr>
        <w:t>The risk/reward at current spot ($45.04 as of 10 Apr 2026 close, $43.71 intra-session on 14 Apr 2026 per SESSION_STATE) is asymmetric to the upside.</w:t>
      </w:r>
    </w:p>
    <w:p>
      <w:pPr>
        <w:pStyle w:val="ListBullet"/>
        <w:spacing w:line="276" w:lineRule="auto"/>
        <w:jc w:val="both"/>
      </w:pPr>
      <w:r>
        <w:rPr>
          <w:rFonts w:ascii="Calibri" w:hAnsi="Calibri"/>
          <w:sz w:val="22"/>
        </w:rPr>
        <w:t>The position is sized to survive a CRL scenario without thesis-damaging drawdown at the portfolio level — and to capture multiple re-rating legs (approval print, label-breadth read, model-reset cycle) on the upside.</w:t>
      </w:r>
    </w:p>
    <w:p>
      <w:pPr>
        <w:spacing w:before="240" w:after="80" w:line="276" w:lineRule="auto"/>
      </w:pPr>
      <w:r>
        <w:rPr>
          <w:rFonts w:ascii="Calibri" w:hAnsi="Calibri"/>
          <w:b/>
          <w:sz w:val="36"/>
        </w:rPr>
        <w:t>A.12  Sources &amp; Verification</w:t>
      </w:r>
    </w:p>
    <w:p>
      <w:pPr>
        <w:spacing w:line="276" w:lineRule="auto"/>
        <w:jc w:val="both"/>
      </w:pPr>
      <w:r>
        <w:rPr>
          <w:rFonts w:ascii="Calibri" w:hAnsi="Calibri"/>
          <w:b w:val="0"/>
          <w:i w:val="0"/>
          <w:sz w:val="22"/>
        </w:rPr>
        <w:t>Every factual claim in this thesis was re-validated against primary or reputable secondary sources on 14 April 2026. Where sources disagreed, the primary company disclosure or FDA-confirmed filing was preferred. Label conventions: VERIFIED = primary source or SEC/FDA confirmed; INFERRED = reasoned from verified facts; SPECULATED = hypothesis grounded in verified facts but not independently confirmed. The recommendation draws on all three tiers, with size calibrated to the weakest load-bearing inference.</w:t>
      </w:r>
    </w:p>
    <w:p>
      <w:pPr>
        <w:spacing w:before="200" w:after="60" w:line="276" w:lineRule="auto"/>
      </w:pPr>
      <w:r>
        <w:rPr>
          <w:rFonts w:ascii="Calibri" w:hAnsi="Calibri"/>
          <w:b/>
          <w:sz w:val="24"/>
        </w:rPr>
        <w:t>Clinical / Regulatory</w:t>
      </w:r>
    </w:p>
    <w:p>
      <w:pPr>
        <w:pStyle w:val="ListBullet"/>
        <w:spacing w:line="276" w:lineRule="auto"/>
        <w:jc w:val="both"/>
      </w:pPr>
      <w:r>
        <w:rPr>
          <w:rFonts w:ascii="Calibri" w:hAnsi="Calibri"/>
          <w:sz w:val="20"/>
        </w:rPr>
        <w:t>Vera Therapeutics — ORIGIN Phase 3 topline press release, 6 November 2025 (NEJM companion). https://ir.veratx.com/news-releases/news-release-details/vera-therapeutics-announces-positive-origin-phase-3-data</w:t>
      </w:r>
    </w:p>
    <w:p>
      <w:pPr>
        <w:pStyle w:val="ListBullet"/>
        <w:spacing w:line="276" w:lineRule="auto"/>
        <w:jc w:val="both"/>
      </w:pPr>
      <w:r>
        <w:rPr>
          <w:rFonts w:ascii="Calibri" w:hAnsi="Calibri"/>
          <w:sz w:val="20"/>
        </w:rPr>
        <w:t>New England Journal of Medicine — Atacicept in IgAN (Barratt et al., 2025). PubMed ID 41196369. https://pubmed.ncbi.nlm.nih.gov/41196369/</w:t>
      </w:r>
    </w:p>
    <w:p>
      <w:pPr>
        <w:pStyle w:val="ListBullet"/>
        <w:spacing w:line="276" w:lineRule="auto"/>
        <w:jc w:val="both"/>
      </w:pPr>
      <w:r>
        <w:rPr>
          <w:rFonts w:ascii="Calibri" w:hAnsi="Calibri"/>
          <w:sz w:val="20"/>
        </w:rPr>
        <w:t>Vera Therapeutics — BLA submission via Accelerated Approval (Oct 2025). https://veratherapeutics.gcs-web.com/news-releases/news-release-details/vera-therapeutics-submits-biologics-license-application-us-fda</w:t>
      </w:r>
    </w:p>
    <w:p>
      <w:pPr>
        <w:pStyle w:val="ListBullet"/>
        <w:spacing w:line="276" w:lineRule="auto"/>
        <w:jc w:val="both"/>
      </w:pPr>
      <w:r>
        <w:rPr>
          <w:rFonts w:ascii="Calibri" w:hAnsi="Calibri"/>
          <w:sz w:val="20"/>
        </w:rPr>
        <w:t>Vera Therapeutics — FDA Priority Review granted, January 2026. https://ir.veratx.com/news-releases/news-release-details/vera-therapeutics-announces-us-fda-granted-priority-review</w:t>
      </w:r>
    </w:p>
    <w:p>
      <w:pPr>
        <w:pStyle w:val="ListBullet"/>
        <w:spacing w:line="276" w:lineRule="auto"/>
        <w:jc w:val="both"/>
      </w:pPr>
      <w:r>
        <w:rPr>
          <w:rFonts w:ascii="Calibri" w:hAnsi="Calibri"/>
          <w:sz w:val="20"/>
        </w:rPr>
        <w:t>Vera Therapeutics — FDA Breakthrough Therapy Designation for atacicept in IgAN. https://ir.veratx.com/news-releases/news-release-details/vera-therapeutics-receives-us-fda-breakthrough-therapy/</w:t>
      </w:r>
    </w:p>
    <w:p>
      <w:pPr>
        <w:pStyle w:val="ListBullet"/>
        <w:spacing w:line="276" w:lineRule="auto"/>
        <w:jc w:val="both"/>
      </w:pPr>
      <w:r>
        <w:rPr>
          <w:rFonts w:ascii="Calibri" w:hAnsi="Calibri"/>
          <w:sz w:val="20"/>
        </w:rPr>
        <w:t>Longitude Capital — BLA submission and PDUFA 7 July 2026 confirmation. https://www.longitudecapital.com/posts/vera-submits-bla-for-atacicept-in-iga-nephropathy-fda-assigns-pdufa-date-july-7-2026/</w:t>
      </w:r>
    </w:p>
    <w:p>
      <w:pPr>
        <w:pStyle w:val="ListBullet"/>
        <w:spacing w:line="276" w:lineRule="auto"/>
        <w:jc w:val="both"/>
      </w:pPr>
      <w:r>
        <w:rPr>
          <w:rFonts w:ascii="Calibri" w:hAnsi="Calibri"/>
          <w:sz w:val="20"/>
        </w:rPr>
        <w:t>HCPLive — FDA Grants Priority Review of BLA for Atacicept in IgAN. https://www.hcplive.com/view/fda-grants-priority-review-of-biologics-license-application-for-atacicept-in-iga-nephropathy</w:t>
      </w:r>
    </w:p>
    <w:p>
      <w:pPr>
        <w:pStyle w:val="ListBullet"/>
        <w:spacing w:line="276" w:lineRule="auto"/>
        <w:jc w:val="both"/>
      </w:pPr>
      <w:r>
        <w:rPr>
          <w:rFonts w:ascii="Calibri" w:hAnsi="Calibri"/>
          <w:sz w:val="20"/>
        </w:rPr>
        <w:t>AJMC — FDA Approves Sibeprenlimab for Immunoglobulin A Nephropathy, November 2025. https://www.ajmc.com/view/fda-approves-sibeprenlimab-for-immunoglobulin-a-nephropathy</w:t>
      </w:r>
    </w:p>
    <w:p>
      <w:pPr>
        <w:pStyle w:val="ListBullet"/>
        <w:spacing w:line="276" w:lineRule="auto"/>
        <w:jc w:val="both"/>
      </w:pPr>
      <w:r>
        <w:rPr>
          <w:rFonts w:ascii="Calibri" w:hAnsi="Calibri"/>
          <w:sz w:val="20"/>
        </w:rPr>
        <w:t>Otsuka — VOYXACT (sibeprenlimab) accelerated approval press release, 25 November 2025. https://www.otsuka-us.com/news/otsuka-receives-fda-accelerated-approval-voyxactr-sibeprenlimab-szsi-reduction-proteinuria</w:t>
      </w:r>
    </w:p>
    <w:p>
      <w:pPr>
        <w:pStyle w:val="ListBullet"/>
        <w:spacing w:line="276" w:lineRule="auto"/>
        <w:jc w:val="both"/>
      </w:pPr>
      <w:r>
        <w:rPr>
          <w:rFonts w:ascii="Calibri" w:hAnsi="Calibri"/>
          <w:sz w:val="20"/>
        </w:rPr>
        <w:t>Otsuka — ISN 2026 World Congress VOYXACT efficacy/safety presentations, 25 March 2026. https://www.otsuka-us.com/news/otsuka-showcases-new-efficacy-and-safety-data-voyxactr-sibeprenlimab-szsi-patients-iga</w:t>
      </w:r>
    </w:p>
    <w:p>
      <w:pPr>
        <w:spacing w:before="200" w:after="60" w:line="276" w:lineRule="auto"/>
      </w:pPr>
      <w:r>
        <w:rPr>
          <w:rFonts w:ascii="Calibri" w:hAnsi="Calibri"/>
          <w:b/>
          <w:sz w:val="24"/>
        </w:rPr>
        <w:t>Epidemiology</w:t>
      </w:r>
    </w:p>
    <w:p>
      <w:pPr>
        <w:pStyle w:val="ListBullet"/>
        <w:spacing w:line="276" w:lineRule="auto"/>
        <w:jc w:val="both"/>
      </w:pPr>
      <w:r>
        <w:rPr>
          <w:rFonts w:ascii="Calibri" w:hAnsi="Calibri"/>
          <w:sz w:val="20"/>
        </w:rPr>
        <w:t>HCPLive — Research on US IgAN incidence/prevalence (incidence 2.1–2.2 per 100,000; prevalence 198,887–208,184 in 2021). https://www.hcplive.com/view/new-research-provides-insight-into-incidence-prevalence-igan-united-states</w:t>
      </w:r>
    </w:p>
    <w:p>
      <w:pPr>
        <w:pStyle w:val="ListBullet"/>
        <w:spacing w:line="276" w:lineRule="auto"/>
        <w:jc w:val="both"/>
      </w:pPr>
      <w:r>
        <w:rPr>
          <w:rFonts w:ascii="Calibri" w:hAnsi="Calibri"/>
          <w:sz w:val="20"/>
        </w:rPr>
        <w:t>DelveInsight — IgA Nephropathy Market Size, Trends, Epidemiology &amp; Forecast 2034. https://www.delveinsight.com/insights/iga-nephropathy-market-size-and-forecast</w:t>
      </w:r>
    </w:p>
    <w:p>
      <w:pPr>
        <w:pStyle w:val="ListBullet"/>
        <w:spacing w:line="276" w:lineRule="auto"/>
        <w:jc w:val="both"/>
      </w:pPr>
      <w:r>
        <w:rPr>
          <w:rFonts w:ascii="Calibri" w:hAnsi="Calibri"/>
          <w:sz w:val="20"/>
        </w:rPr>
        <w:t>MDPI Journal of Clinical Medicine — IgAN epidemiology and outcomes review, 2026. https://www.mdpi.com/2077-0383/15/5/2046</w:t>
      </w:r>
    </w:p>
    <w:p>
      <w:pPr>
        <w:pStyle w:val="ListBullet"/>
        <w:spacing w:line="276" w:lineRule="auto"/>
        <w:jc w:val="both"/>
      </w:pPr>
      <w:r>
        <w:rPr>
          <w:rFonts w:ascii="Calibri" w:hAnsi="Calibri"/>
          <w:sz w:val="20"/>
        </w:rPr>
        <w:t>iHealthcareAnalyst — Global IgAN market sizing to $8.3B by 2033. https://www.ihealthcareanalyst.com/global-immunoglobulin-a-nephropathy-market/</w:t>
      </w:r>
    </w:p>
    <w:p>
      <w:pPr>
        <w:pStyle w:val="ListBullet"/>
        <w:spacing w:line="276" w:lineRule="auto"/>
        <w:jc w:val="both"/>
      </w:pPr>
      <w:r>
        <w:rPr>
          <w:rFonts w:ascii="Calibri" w:hAnsi="Calibri"/>
          <w:sz w:val="20"/>
        </w:rPr>
        <w:t>Future Market Insights — IgAN market outlook 2025–2035. https://www.futuremarketinsights.com/reports/iga-nephropathy-market</w:t>
      </w:r>
    </w:p>
    <w:p>
      <w:pPr>
        <w:pStyle w:val="ListBullet"/>
        <w:spacing w:line="276" w:lineRule="auto"/>
        <w:jc w:val="both"/>
      </w:pPr>
      <w:r>
        <w:rPr>
          <w:rFonts w:ascii="Calibri" w:hAnsi="Calibri"/>
          <w:sz w:val="20"/>
        </w:rPr>
        <w:t>ICER — Evidence Report on Therapies for IgA Nephropathy. https://icer.org/news-insights/press-releases/institute-for-clinical-and-economic-review-releases-evidence-report-on-therapies-for-iga-nephropathy/</w:t>
      </w:r>
    </w:p>
    <w:p>
      <w:pPr>
        <w:spacing w:before="200" w:after="60" w:line="276" w:lineRule="auto"/>
      </w:pPr>
      <w:r>
        <w:rPr>
          <w:rFonts w:ascii="Calibri" w:hAnsi="Calibri"/>
          <w:b/>
          <w:sz w:val="24"/>
        </w:rPr>
        <w:t>Competitive Landscape</w:t>
      </w:r>
    </w:p>
    <w:p>
      <w:pPr>
        <w:pStyle w:val="ListBullet"/>
        <w:spacing w:line="276" w:lineRule="auto"/>
        <w:jc w:val="both"/>
      </w:pPr>
      <w:r>
        <w:rPr>
          <w:rFonts w:ascii="Calibri" w:hAnsi="Calibri"/>
          <w:sz w:val="20"/>
        </w:rPr>
        <w:t>BioSpace — Otsuka Secures IgAN Win as FDA Approves First Anti-APRIL Antibody (Nov 2025). https://www.biospace.com/fda/otsuka-notches-igan-win-as-fda-approves-first-anti-april-antibody</w:t>
      </w:r>
    </w:p>
    <w:p>
      <w:pPr>
        <w:pStyle w:val="ListBullet"/>
        <w:spacing w:line="276" w:lineRule="auto"/>
        <w:jc w:val="both"/>
      </w:pPr>
      <w:r>
        <w:rPr>
          <w:rFonts w:ascii="Calibri" w:hAnsi="Calibri"/>
          <w:sz w:val="20"/>
        </w:rPr>
        <w:t>NEJM — Sibeprenlimab in IgA Nephropathy, Interim Analysis of VISIONARY Phase 3 (2025). https://www.nejm.org/doi/abs/10.1056/NEJMoa2512133</w:t>
      </w:r>
    </w:p>
    <w:p>
      <w:pPr>
        <w:pStyle w:val="ListBullet"/>
        <w:spacing w:line="276" w:lineRule="auto"/>
        <w:jc w:val="both"/>
      </w:pPr>
      <w:r>
        <w:rPr>
          <w:rFonts w:ascii="Calibri" w:hAnsi="Calibri"/>
          <w:sz w:val="20"/>
        </w:rPr>
        <w:t>Pharmacy Times — Sibeprenlimab-szsi for Primary IgA Nephropathy: A New Drug Review. https://www.pharmacytimes.com/view/sibeprenlimab-szsi-for-primary-iga-nephropathy-a-new-drug-review</w:t>
      </w:r>
    </w:p>
    <w:p>
      <w:pPr>
        <w:pStyle w:val="ListBullet"/>
        <w:spacing w:line="276" w:lineRule="auto"/>
        <w:jc w:val="both"/>
      </w:pPr>
      <w:r>
        <w:rPr>
          <w:rFonts w:ascii="Calibri" w:hAnsi="Calibri"/>
          <w:sz w:val="20"/>
        </w:rPr>
        <w:t>BioSpace — Vera Builds 'Compelling Profile' for Atacicept in IgAN. https://www.biospace.com/drug-development/vera-builds-compelling-profile-for-atacicept-in-igan-eyes-q4-filing</w:t>
      </w:r>
    </w:p>
    <w:p>
      <w:pPr>
        <w:pStyle w:val="ListBullet"/>
        <w:spacing w:line="276" w:lineRule="auto"/>
        <w:jc w:val="both"/>
      </w:pPr>
      <w:r>
        <w:rPr>
          <w:rFonts w:ascii="Calibri" w:hAnsi="Calibri"/>
          <w:sz w:val="20"/>
        </w:rPr>
        <w:t>Vera Therapeutics — Atacicept mechanism page. https://veratx.com/science/atacicept-in-igan/</w:t>
      </w:r>
    </w:p>
    <w:p>
      <w:pPr>
        <w:spacing w:before="200" w:after="60" w:line="276" w:lineRule="auto"/>
      </w:pPr>
      <w:r>
        <w:rPr>
          <w:rFonts w:ascii="Calibri" w:hAnsi="Calibri"/>
          <w:b/>
          <w:sz w:val="24"/>
        </w:rPr>
        <w:t>Market &amp; Financial</w:t>
      </w:r>
    </w:p>
    <w:p>
      <w:pPr>
        <w:pStyle w:val="ListBullet"/>
        <w:spacing w:line="276" w:lineRule="auto"/>
        <w:jc w:val="both"/>
      </w:pPr>
      <w:r>
        <w:rPr>
          <w:rFonts w:ascii="Calibri" w:hAnsi="Calibri"/>
          <w:sz w:val="20"/>
        </w:rPr>
        <w:t>Public.com — VERA analyst ratings and 2026 price targets (consensus Buy; ~10 analysts, PT $82.30 cited 14 Mar 2026). https://public.com/stocks/vera/forecast-price-target</w:t>
      </w:r>
    </w:p>
    <w:p>
      <w:pPr>
        <w:pStyle w:val="ListBullet"/>
        <w:spacing w:line="276" w:lineRule="auto"/>
        <w:jc w:val="both"/>
      </w:pPr>
      <w:r>
        <w:rPr>
          <w:rFonts w:ascii="Calibri" w:hAnsi="Calibri"/>
          <w:sz w:val="20"/>
        </w:rPr>
        <w:t>AInvest — Atacicept Peak Sales $500–700M projection and risk-adjusted revenue path. https://www.ainvest.com/news/vera-therapeutics-atacicept-class-breakthrough-iga-nephropathy-1b-market-opportunity-2506/</w:t>
      </w:r>
    </w:p>
    <w:p>
      <w:pPr>
        <w:pStyle w:val="ListBullet"/>
        <w:spacing w:line="276" w:lineRule="auto"/>
        <w:jc w:val="both"/>
      </w:pPr>
      <w:r>
        <w:rPr>
          <w:rFonts w:ascii="Calibri" w:hAnsi="Calibri"/>
          <w:sz w:val="20"/>
        </w:rPr>
        <w:t>StockTitan — Vera Therapeutics inducement grant disclosure, 10 April 2026 (258,200 options + 131,925 RSUs, 89 new employees). https://www.stocktitan.net/news/VERA/vera-therapeutics-announces-inducement-grants-under-nasdaq-listing-udljud74m7om.html</w:t>
      </w:r>
    </w:p>
    <w:p>
      <w:pPr>
        <w:pStyle w:val="ListBullet"/>
        <w:spacing w:line="276" w:lineRule="auto"/>
        <w:jc w:val="both"/>
      </w:pPr>
      <w:r>
        <w:rPr>
          <w:rFonts w:ascii="Calibri" w:hAnsi="Calibri"/>
          <w:sz w:val="20"/>
        </w:rPr>
        <w:t>GlobeNewswire — Vera inducement grants, 10 April 2026 (detailed terms and vesting). https://www.globenewswire.com/news-release/2026/04/10/3272048/0/en/Vera-Therapeutics-Announces-Inducement-Grants-Under-Nasdaq-Listing-Rule-5635-c-4.html</w:t>
      </w:r>
    </w:p>
    <w:p>
      <w:pPr>
        <w:pStyle w:val="ListBullet"/>
        <w:spacing w:line="276" w:lineRule="auto"/>
        <w:jc w:val="both"/>
      </w:pPr>
      <w:r>
        <w:rPr>
          <w:rFonts w:ascii="Calibri" w:hAnsi="Calibri"/>
          <w:sz w:val="20"/>
        </w:rPr>
        <w:t>Vera Therapeutics — Full Year 2025 Financial Results (cash $714.6M YE 2025; ~$800M 2025 financings gross potential). https://ir.veratx.com/news-releases/news-release-details/vera-therapeutics-provides-business-update-and-reports-full-year</w:t>
      </w:r>
    </w:p>
    <w:p>
      <w:pPr>
        <w:pStyle w:val="ListBullet"/>
        <w:spacing w:line="276" w:lineRule="auto"/>
        <w:jc w:val="both"/>
      </w:pPr>
      <w:r>
        <w:rPr>
          <w:rFonts w:ascii="Calibri" w:hAnsi="Calibri"/>
          <w:sz w:val="20"/>
        </w:rPr>
        <w:t>MarketBeat — VERA SEC filings history. https://www.marketbeat.com/stocks/NASDAQ/VERA/sec-filings/</w:t>
      </w:r>
    </w:p>
    <w:p>
      <w:pPr>
        <w:pStyle w:val="ListBullet"/>
        <w:spacing w:line="276" w:lineRule="auto"/>
        <w:jc w:val="both"/>
      </w:pPr>
      <w:r>
        <w:rPr>
          <w:rFonts w:ascii="Calibri" w:hAnsi="Calibri"/>
          <w:sz w:val="20"/>
        </w:rPr>
        <w:t>Nasdaq — VERA SEC filings overview. https://www.nasdaq.com/market-activity/stocks/vera/sec-filings</w:t>
      </w:r>
    </w:p>
    <w:p>
      <w:pPr>
        <w:pStyle w:val="ListBullet"/>
        <w:spacing w:line="276" w:lineRule="auto"/>
        <w:jc w:val="both"/>
      </w:pPr>
      <w:r>
        <w:rPr>
          <w:rFonts w:ascii="Calibri" w:hAnsi="Calibri"/>
          <w:sz w:val="20"/>
        </w:rPr>
        <w:t>Fintel — VERA short interest and institutional ownership. https://fintel.io/ss/us/vera</w:t>
      </w:r>
    </w:p>
    <w:p>
      <w:pPr>
        <w:pStyle w:val="ListBullet"/>
        <w:spacing w:line="276" w:lineRule="auto"/>
        <w:jc w:val="both"/>
      </w:pPr>
      <w:r>
        <w:rPr>
          <w:rFonts w:ascii="Calibri" w:hAnsi="Calibri"/>
          <w:sz w:val="20"/>
        </w:rPr>
        <w:t>OpenInsider — VERA Form 4 insider trading. http://openinsider.com/VERA</w:t>
      </w:r>
    </w:p>
    <w:p>
      <w:pPr>
        <w:pStyle w:val="ListBullet"/>
        <w:spacing w:line="276" w:lineRule="auto"/>
        <w:jc w:val="both"/>
      </w:pPr>
      <w:r>
        <w:rPr>
          <w:rFonts w:ascii="Calibri" w:hAnsi="Calibri"/>
          <w:sz w:val="20"/>
        </w:rPr>
        <w:t>SeekingAlpha — VERA quote and coverage aggregator. https://seekingalpha.com/symbol/VERA</w:t>
      </w:r>
    </w:p>
    <w:p>
      <w:pPr>
        <w:spacing w:before="200" w:after="60" w:line="276" w:lineRule="auto"/>
      </w:pPr>
      <w:r>
        <w:rPr>
          <w:rFonts w:ascii="Calibri" w:hAnsi="Calibri"/>
          <w:b/>
          <w:sz w:val="24"/>
        </w:rPr>
        <w:t>SEC / Governance / Institutional Filings</w:t>
      </w:r>
    </w:p>
    <w:p>
      <w:pPr>
        <w:pStyle w:val="ListBullet"/>
        <w:spacing w:line="276" w:lineRule="auto"/>
        <w:jc w:val="both"/>
      </w:pPr>
      <w:r>
        <w:rPr>
          <w:rFonts w:ascii="Calibri" w:hAnsi="Calibri"/>
          <w:sz w:val="20"/>
        </w:rPr>
        <w:t>SEC EDGAR — VERA SC 13G (Point72 Asset Management, 1 April 2026). https://www.sec.gov/Archives/edgar/data/1831828/000090266426001831/primary_doc.xml</w:t>
      </w:r>
    </w:p>
    <w:p>
      <w:pPr>
        <w:pStyle w:val="ListBullet"/>
        <w:spacing w:line="276" w:lineRule="auto"/>
        <w:jc w:val="both"/>
      </w:pPr>
      <w:r>
        <w:rPr>
          <w:rFonts w:ascii="Calibri" w:hAnsi="Calibri"/>
          <w:sz w:val="20"/>
        </w:rPr>
        <w:t>SEC EDGAR — VERA SC 13G (Deep Track Capital LP, 11 March 2026). https://www.sec.gov/Archives/edgar/data/1831828/000117266126001342/primary_doc.xml</w:t>
      </w:r>
    </w:p>
    <w:p>
      <w:pPr>
        <w:pStyle w:val="ListBullet"/>
        <w:spacing w:line="276" w:lineRule="auto"/>
        <w:jc w:val="both"/>
      </w:pPr>
      <w:r>
        <w:rPr>
          <w:rFonts w:ascii="Calibri" w:hAnsi="Calibri"/>
          <w:sz w:val="20"/>
        </w:rPr>
        <w:t>SEC EDGAR — VERA 8-K Item 5.02 (Christopher Hite board appointment, 9 March 2026). https://www.sec.gov/Archives/edgar/data/1831828/000119312526098783/vera-20260305.htm</w:t>
      </w:r>
    </w:p>
    <w:p>
      <w:pPr>
        <w:pStyle w:val="ListBullet"/>
        <w:spacing w:line="276" w:lineRule="auto"/>
        <w:jc w:val="both"/>
      </w:pPr>
      <w:r>
        <w:rPr>
          <w:rFonts w:ascii="Calibri" w:hAnsi="Calibri"/>
          <w:sz w:val="20"/>
        </w:rPr>
        <w:t>SEC EDGAR — VERA SC 13G/A (Vanguard Group zero filing, 27 March 2026 — administrative realignment per SEC Release 34-39538). https://www.sec.gov/Archives/edgar/data/1831828/000010290926002499/primary_doc.xml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sz w:val="18"/>
      </w:rPr>
      <w:t xml:space="preserve">VERA Investment Thesis — 14 April 2026 — Investment Discovery System   |   </w:t>
    </w:r>
    <w:r>
      <w:rPr>
        <w:rFonts w:ascii="Calibri" w:hAnsi="Calibri"/>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