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pPr>
      <w:r>
        <w:rPr>
          <w:rFonts w:ascii="Calibri" w:hAnsi="Calibri"/>
          <w:b/>
          <w:sz w:val="22"/>
        </w:rPr>
        <w:t>INVESTMENT THESIS</w:t>
      </w:r>
    </w:p>
    <w:p>
      <w:pPr>
        <w:spacing w:line="276" w:lineRule="auto"/>
      </w:pPr>
      <w:r>
        <w:rPr>
          <w:rFonts w:ascii="Calibri" w:hAnsi="Calibri"/>
          <w:b/>
          <w:sz w:val="56"/>
        </w:rPr>
        <w:t>Viridian Therapeutics, Inc. (VRDN)</w:t>
      </w:r>
    </w:p>
    <w:p>
      <w:pPr>
        <w:spacing w:line="276" w:lineRule="auto"/>
        <w:jc w:val="left"/>
      </w:pPr>
      <w:r>
        <w:rPr>
          <w:rFonts w:ascii="Calibri" w:hAnsi="Calibri"/>
          <w:b w:val="0"/>
          <w:i w:val="0"/>
          <w:sz w:val="30"/>
        </w:rPr>
        <w:t>Veligrotug in Thyroid Eye Disease (TED)</w:t>
      </w:r>
    </w:p>
    <w:p>
      <w:pPr>
        <w:spacing w:line="276" w:lineRule="auto"/>
      </w:pPr>
      <w:r>
        <w:rPr>
          <w:rFonts w:ascii="Calibri" w:hAnsi="Calibri"/>
          <w:b/>
          <w:sz w:val="24"/>
        </w:rPr>
        <w:t>PDUFA: 30 June 2026  ·  77 days to decision</w:t>
      </w:r>
    </w:p>
    <w:p>
      <w:pPr>
        <w:spacing w:line="276" w:lineRule="auto"/>
        <w:jc w:val="left"/>
      </w:pPr>
      <w:r>
        <w:rPr>
          <w:rFonts w:ascii="Calibri" w:hAnsi="Calibri"/>
          <w:b w:val="0"/>
          <w:i w:val="0"/>
          <w:sz w:val="20"/>
        </w:rPr>
        <w:t>14 April 2026</w:t>
      </w:r>
    </w:p>
    <w:p>
      <w:pPr>
        <w:spacing w:line="276" w:lineRule="auto"/>
      </w:pPr>
    </w:p>
    <w:p>
      <w:pPr>
        <w:spacing w:before="240" w:after="80" w:line="276" w:lineRule="auto"/>
      </w:pPr>
      <w:r>
        <w:rPr>
          <w:rFonts w:ascii="Calibri" w:hAnsi="Calibri"/>
          <w:b/>
          <w:sz w:val="36"/>
        </w:rPr>
        <w:t>Glossary of Key Terms</w:t>
      </w:r>
    </w:p>
    <w:p>
      <w:pPr>
        <w:spacing w:line="276" w:lineRule="auto"/>
        <w:jc w:val="both"/>
      </w:pPr>
      <w:r>
        <w:rPr>
          <w:rFonts w:ascii="Calibri" w:hAnsi="Calibri"/>
          <w:b w:val="0"/>
          <w:i w:val="0"/>
          <w:sz w:val="22"/>
        </w:rPr>
        <w:t>Acronyms used throughout this note, defined up front so the summary reads cleanly.</w:t>
      </w:r>
    </w:p>
    <w:tbl>
      <w:tblPr>
        <w:tblStyle w:val="TableGrid"/>
        <w:tblW w:type="auto" w:w="0"/>
        <w:tblLook w:firstColumn="1" w:firstRow="1" w:lastColumn="0" w:lastRow="0" w:noHBand="0" w:noVBand="1" w:val="04A0"/>
      </w:tblPr>
      <w:tblGrid>
        <w:gridCol w:w="4680"/>
        <w:gridCol w:w="4680"/>
      </w:tblGrid>
      <w:tr>
        <w:tc>
          <w:tcPr>
            <w:tcW w:type="dxa" w:w="2304"/>
            <w:shd w:val="clear" w:color="auto" w:fill="D9D9D9"/>
          </w:tcPr>
          <w:p>
            <w:r/>
            <w:r>
              <w:rPr>
                <w:rFonts w:ascii="Calibri" w:hAnsi="Calibri"/>
                <w:b/>
                <w:sz w:val="20"/>
              </w:rPr>
              <w:t>Term</w:t>
            </w:r>
          </w:p>
        </w:tc>
        <w:tc>
          <w:tcPr>
            <w:tcW w:type="dxa" w:w="7056"/>
            <w:shd w:val="clear" w:color="auto" w:fill="D9D9D9"/>
          </w:tcPr>
          <w:p>
            <w:r/>
            <w:r>
              <w:rPr>
                <w:rFonts w:ascii="Calibri" w:hAnsi="Calibri"/>
                <w:b/>
                <w:sz w:val="20"/>
              </w:rPr>
              <w:t>Meaning</w:t>
            </w:r>
          </w:p>
        </w:tc>
      </w:tr>
      <w:tr>
        <w:tc>
          <w:tcPr>
            <w:tcW w:type="dxa" w:w="2304"/>
          </w:tcPr>
          <w:p>
            <w:r/>
            <w:r>
              <w:rPr>
                <w:rFonts w:ascii="Calibri" w:hAnsi="Calibri"/>
                <w:sz w:val="20"/>
              </w:rPr>
              <w:t>TED</w:t>
            </w:r>
          </w:p>
        </w:tc>
        <w:tc>
          <w:tcPr>
            <w:tcW w:type="dxa" w:w="7056"/>
          </w:tcPr>
          <w:p>
            <w:r/>
            <w:r>
              <w:rPr>
                <w:rFonts w:ascii="Calibri" w:hAnsi="Calibri"/>
                <w:sz w:val="20"/>
              </w:rPr>
              <w:t>Thyroid Eye Disease — autoimmune inflammation of orbital tissues associated with Graves' disease; causes proptosis, diplopia, and ocular surface disease</w:t>
            </w:r>
          </w:p>
        </w:tc>
      </w:tr>
      <w:tr>
        <w:tc>
          <w:tcPr>
            <w:tcW w:type="dxa" w:w="2304"/>
          </w:tcPr>
          <w:p>
            <w:r/>
            <w:r>
              <w:rPr>
                <w:rFonts w:ascii="Calibri" w:hAnsi="Calibri"/>
                <w:sz w:val="20"/>
              </w:rPr>
              <w:t>IGF-1R</w:t>
            </w:r>
          </w:p>
        </w:tc>
        <w:tc>
          <w:tcPr>
            <w:tcW w:type="dxa" w:w="7056"/>
          </w:tcPr>
          <w:p>
            <w:r/>
            <w:r>
              <w:rPr>
                <w:rFonts w:ascii="Calibri" w:hAnsi="Calibri"/>
                <w:sz w:val="20"/>
              </w:rPr>
              <w:t>Insulin-like Growth Factor-1 Receptor — the validated TED drug target; pathological orbital fibroblasts express IGF-1R in complex with TSHR</w:t>
            </w:r>
          </w:p>
        </w:tc>
      </w:tr>
      <w:tr>
        <w:tc>
          <w:tcPr>
            <w:tcW w:type="dxa" w:w="2304"/>
          </w:tcPr>
          <w:p>
            <w:r/>
            <w:r>
              <w:rPr>
                <w:rFonts w:ascii="Calibri" w:hAnsi="Calibri"/>
                <w:sz w:val="20"/>
              </w:rPr>
              <w:t>TSHR</w:t>
            </w:r>
          </w:p>
        </w:tc>
        <w:tc>
          <w:tcPr>
            <w:tcW w:type="dxa" w:w="7056"/>
          </w:tcPr>
          <w:p>
            <w:r/>
            <w:r>
              <w:rPr>
                <w:rFonts w:ascii="Calibri" w:hAnsi="Calibri"/>
                <w:sz w:val="20"/>
              </w:rPr>
              <w:t>Thyroid-Stimulating Hormone Receptor — co-receptor complexed with IGF-1R on orbital fibroblasts</w:t>
            </w:r>
          </w:p>
        </w:tc>
      </w:tr>
      <w:tr>
        <w:tc>
          <w:tcPr>
            <w:tcW w:type="dxa" w:w="2304"/>
          </w:tcPr>
          <w:p>
            <w:r/>
            <w:r>
              <w:rPr>
                <w:rFonts w:ascii="Calibri" w:hAnsi="Calibri"/>
                <w:sz w:val="20"/>
              </w:rPr>
              <w:t>PRR</w:t>
            </w:r>
          </w:p>
        </w:tc>
        <w:tc>
          <w:tcPr>
            <w:tcW w:type="dxa" w:w="7056"/>
          </w:tcPr>
          <w:p>
            <w:r/>
            <w:r>
              <w:rPr>
                <w:rFonts w:ascii="Calibri" w:hAnsi="Calibri"/>
                <w:sz w:val="20"/>
              </w:rPr>
              <w:t>Proptosis Responder Rate — ≥2mm reduction from baseline (FDA-standard primary endpoint for TED)</w:t>
            </w:r>
          </w:p>
        </w:tc>
      </w:tr>
      <w:tr>
        <w:tc>
          <w:tcPr>
            <w:tcW w:type="dxa" w:w="2304"/>
          </w:tcPr>
          <w:p>
            <w:r/>
            <w:r>
              <w:rPr>
                <w:rFonts w:ascii="Calibri" w:hAnsi="Calibri"/>
                <w:sz w:val="20"/>
              </w:rPr>
              <w:t>BLA</w:t>
            </w:r>
          </w:p>
        </w:tc>
        <w:tc>
          <w:tcPr>
            <w:tcW w:type="dxa" w:w="7056"/>
          </w:tcPr>
          <w:p>
            <w:r/>
            <w:r>
              <w:rPr>
                <w:rFonts w:ascii="Calibri" w:hAnsi="Calibri"/>
                <w:sz w:val="20"/>
              </w:rPr>
              <w:t>Biologics License Application</w:t>
            </w:r>
          </w:p>
        </w:tc>
      </w:tr>
      <w:tr>
        <w:tc>
          <w:tcPr>
            <w:tcW w:type="dxa" w:w="2304"/>
          </w:tcPr>
          <w:p>
            <w:r/>
            <w:r>
              <w:rPr>
                <w:rFonts w:ascii="Calibri" w:hAnsi="Calibri"/>
                <w:sz w:val="20"/>
              </w:rPr>
              <w:t>BTD</w:t>
            </w:r>
          </w:p>
        </w:tc>
        <w:tc>
          <w:tcPr>
            <w:tcW w:type="dxa" w:w="7056"/>
          </w:tcPr>
          <w:p>
            <w:r/>
            <w:r>
              <w:rPr>
                <w:rFonts w:ascii="Calibri" w:hAnsi="Calibri"/>
                <w:sz w:val="20"/>
              </w:rPr>
              <w:t>Breakthrough Therapy Designation</w:t>
            </w:r>
          </w:p>
        </w:tc>
      </w:tr>
      <w:tr>
        <w:tc>
          <w:tcPr>
            <w:tcW w:type="dxa" w:w="2304"/>
          </w:tcPr>
          <w:p>
            <w:r/>
            <w:r>
              <w:rPr>
                <w:rFonts w:ascii="Calibri" w:hAnsi="Calibri"/>
                <w:sz w:val="20"/>
              </w:rPr>
              <w:t>PDUFA</w:t>
            </w:r>
          </w:p>
        </w:tc>
        <w:tc>
          <w:tcPr>
            <w:tcW w:type="dxa" w:w="7056"/>
          </w:tcPr>
          <w:p>
            <w:r/>
            <w:r>
              <w:rPr>
                <w:rFonts w:ascii="Calibri" w:hAnsi="Calibri"/>
                <w:sz w:val="20"/>
              </w:rPr>
              <w:t>Prescription Drug User Fee Act target action date</w:t>
            </w:r>
          </w:p>
        </w:tc>
      </w:tr>
      <w:tr>
        <w:tc>
          <w:tcPr>
            <w:tcW w:type="dxa" w:w="2304"/>
          </w:tcPr>
          <w:p>
            <w:r/>
            <w:r>
              <w:rPr>
                <w:rFonts w:ascii="Calibri" w:hAnsi="Calibri"/>
                <w:sz w:val="20"/>
              </w:rPr>
              <w:t>Priority Review</w:t>
            </w:r>
          </w:p>
        </w:tc>
        <w:tc>
          <w:tcPr>
            <w:tcW w:type="dxa" w:w="7056"/>
          </w:tcPr>
          <w:p>
            <w:r/>
            <w:r>
              <w:rPr>
                <w:rFonts w:ascii="Calibri" w:hAnsi="Calibri"/>
                <w:sz w:val="20"/>
              </w:rPr>
              <w:t>FDA expedited 6-month review (vs standard 10-month)</w:t>
            </w:r>
          </w:p>
        </w:tc>
      </w:tr>
      <w:tr>
        <w:tc>
          <w:tcPr>
            <w:tcW w:type="dxa" w:w="2304"/>
          </w:tcPr>
          <w:p>
            <w:r/>
            <w:r>
              <w:rPr>
                <w:rFonts w:ascii="Calibri" w:hAnsi="Calibri"/>
                <w:sz w:val="20"/>
              </w:rPr>
              <w:t>CRL</w:t>
            </w:r>
          </w:p>
        </w:tc>
        <w:tc>
          <w:tcPr>
            <w:tcW w:type="dxa" w:w="7056"/>
          </w:tcPr>
          <w:p>
            <w:r/>
            <w:r>
              <w:rPr>
                <w:rFonts w:ascii="Calibri" w:hAnsi="Calibri"/>
                <w:sz w:val="20"/>
              </w:rPr>
              <w:t>Complete Response Letter — FDA denial or deferral</w:t>
            </w:r>
          </w:p>
        </w:tc>
      </w:tr>
      <w:tr>
        <w:tc>
          <w:tcPr>
            <w:tcW w:type="dxa" w:w="2304"/>
          </w:tcPr>
          <w:p>
            <w:r/>
            <w:r>
              <w:rPr>
                <w:rFonts w:ascii="Calibri" w:hAnsi="Calibri"/>
                <w:sz w:val="20"/>
              </w:rPr>
              <w:t>AdCom</w:t>
            </w:r>
          </w:p>
        </w:tc>
        <w:tc>
          <w:tcPr>
            <w:tcW w:type="dxa" w:w="7056"/>
          </w:tcPr>
          <w:p>
            <w:r/>
            <w:r>
              <w:rPr>
                <w:rFonts w:ascii="Calibri" w:hAnsi="Calibri"/>
                <w:sz w:val="20"/>
              </w:rPr>
              <w:t>Advisory Committee</w:t>
            </w:r>
          </w:p>
        </w:tc>
      </w:tr>
      <w:tr>
        <w:tc>
          <w:tcPr>
            <w:tcW w:type="dxa" w:w="2304"/>
          </w:tcPr>
          <w:p>
            <w:r/>
            <w:r>
              <w:rPr>
                <w:rFonts w:ascii="Calibri" w:hAnsi="Calibri"/>
                <w:sz w:val="20"/>
              </w:rPr>
              <w:t>SC</w:t>
            </w:r>
          </w:p>
        </w:tc>
        <w:tc>
          <w:tcPr>
            <w:tcW w:type="dxa" w:w="7056"/>
          </w:tcPr>
          <w:p>
            <w:r/>
            <w:r>
              <w:rPr>
                <w:rFonts w:ascii="Calibri" w:hAnsi="Calibri"/>
                <w:sz w:val="20"/>
              </w:rPr>
              <w:t>Subcutaneous</w:t>
            </w:r>
          </w:p>
        </w:tc>
      </w:tr>
      <w:tr>
        <w:tc>
          <w:tcPr>
            <w:tcW w:type="dxa" w:w="2304"/>
          </w:tcPr>
          <w:p>
            <w:r/>
            <w:r>
              <w:rPr>
                <w:rFonts w:ascii="Calibri" w:hAnsi="Calibri"/>
                <w:sz w:val="20"/>
              </w:rPr>
              <w:t>IV</w:t>
            </w:r>
          </w:p>
        </w:tc>
        <w:tc>
          <w:tcPr>
            <w:tcW w:type="dxa" w:w="7056"/>
          </w:tcPr>
          <w:p>
            <w:r/>
            <w:r>
              <w:rPr>
                <w:rFonts w:ascii="Calibri" w:hAnsi="Calibri"/>
                <w:sz w:val="20"/>
              </w:rPr>
              <w:t>Intravenous</w:t>
            </w:r>
          </w:p>
        </w:tc>
      </w:tr>
      <w:tr>
        <w:tc>
          <w:tcPr>
            <w:tcW w:type="dxa" w:w="2304"/>
          </w:tcPr>
          <w:p>
            <w:r/>
            <w:r>
              <w:rPr>
                <w:rFonts w:ascii="Calibri" w:hAnsi="Calibri"/>
                <w:sz w:val="20"/>
              </w:rPr>
              <w:t>MAA</w:t>
            </w:r>
          </w:p>
        </w:tc>
        <w:tc>
          <w:tcPr>
            <w:tcW w:type="dxa" w:w="7056"/>
          </w:tcPr>
          <w:p>
            <w:r/>
            <w:r>
              <w:rPr>
                <w:rFonts w:ascii="Calibri" w:hAnsi="Calibri"/>
                <w:sz w:val="20"/>
              </w:rPr>
              <w:t>Marketing Authorization Application (EMA)</w:t>
            </w:r>
          </w:p>
        </w:tc>
      </w:tr>
      <w:tr>
        <w:tc>
          <w:tcPr>
            <w:tcW w:type="dxa" w:w="2304"/>
          </w:tcPr>
          <w:p>
            <w:r/>
            <w:r>
              <w:rPr>
                <w:rFonts w:ascii="Calibri" w:hAnsi="Calibri"/>
                <w:sz w:val="20"/>
              </w:rPr>
              <w:t>THRIVE</w:t>
            </w:r>
          </w:p>
        </w:tc>
        <w:tc>
          <w:tcPr>
            <w:tcW w:type="dxa" w:w="7056"/>
          </w:tcPr>
          <w:p>
            <w:r/>
            <w:r>
              <w:rPr>
                <w:rFonts w:ascii="Calibri" w:hAnsi="Calibri"/>
                <w:sz w:val="20"/>
              </w:rPr>
              <w:t>Viridian's pivotal Phase 3 of veligrotug in active TED</w:t>
            </w:r>
          </w:p>
        </w:tc>
      </w:tr>
      <w:tr>
        <w:tc>
          <w:tcPr>
            <w:tcW w:type="dxa" w:w="2304"/>
          </w:tcPr>
          <w:p>
            <w:r/>
            <w:r>
              <w:rPr>
                <w:rFonts w:ascii="Calibri" w:hAnsi="Calibri"/>
                <w:sz w:val="20"/>
              </w:rPr>
              <w:t>THRIVE-2</w:t>
            </w:r>
          </w:p>
        </w:tc>
        <w:tc>
          <w:tcPr>
            <w:tcW w:type="dxa" w:w="7056"/>
          </w:tcPr>
          <w:p>
            <w:r/>
            <w:r>
              <w:rPr>
                <w:rFonts w:ascii="Calibri" w:hAnsi="Calibri"/>
                <w:sz w:val="20"/>
              </w:rPr>
              <w:t>Viridian's pivotal Phase 3 of veligrotug in chronic TED</w:t>
            </w:r>
          </w:p>
        </w:tc>
      </w:tr>
      <w:tr>
        <w:tc>
          <w:tcPr>
            <w:tcW w:type="dxa" w:w="2304"/>
          </w:tcPr>
          <w:p>
            <w:r/>
            <w:r>
              <w:rPr>
                <w:rFonts w:ascii="Calibri" w:hAnsi="Calibri"/>
                <w:sz w:val="20"/>
              </w:rPr>
              <w:t>REVEAL-1</w:t>
            </w:r>
          </w:p>
        </w:tc>
        <w:tc>
          <w:tcPr>
            <w:tcW w:type="dxa" w:w="7056"/>
          </w:tcPr>
          <w:p>
            <w:r/>
            <w:r>
              <w:rPr>
                <w:rFonts w:ascii="Calibri" w:hAnsi="Calibri"/>
                <w:sz w:val="20"/>
              </w:rPr>
              <w:t>Viridian's Phase 3 of elegrobart (SC VRDN-003) in active TED</w:t>
            </w:r>
          </w:p>
        </w:tc>
      </w:tr>
      <w:tr>
        <w:tc>
          <w:tcPr>
            <w:tcW w:type="dxa" w:w="2304"/>
          </w:tcPr>
          <w:p>
            <w:r/>
            <w:r>
              <w:rPr>
                <w:rFonts w:ascii="Calibri" w:hAnsi="Calibri"/>
                <w:sz w:val="20"/>
              </w:rPr>
              <w:t>REVEAL-2</w:t>
            </w:r>
          </w:p>
        </w:tc>
        <w:tc>
          <w:tcPr>
            <w:tcW w:type="dxa" w:w="7056"/>
          </w:tcPr>
          <w:p>
            <w:r/>
            <w:r>
              <w:rPr>
                <w:rFonts w:ascii="Calibri" w:hAnsi="Calibri"/>
                <w:sz w:val="20"/>
              </w:rPr>
              <w:t>Viridian's Phase 3 of elegrobart in chronic TED — readout pending Q2 2026</w:t>
            </w:r>
          </w:p>
        </w:tc>
      </w:tr>
      <w:tr>
        <w:tc>
          <w:tcPr>
            <w:tcW w:type="dxa" w:w="2304"/>
          </w:tcPr>
          <w:p>
            <w:r/>
            <w:r>
              <w:rPr>
                <w:rFonts w:ascii="Calibri" w:hAnsi="Calibri"/>
                <w:sz w:val="20"/>
              </w:rPr>
              <w:t>Tepezza / VOYXACT-naming-unused</w:t>
            </w:r>
          </w:p>
        </w:tc>
        <w:tc>
          <w:tcPr>
            <w:tcW w:type="dxa" w:w="7056"/>
          </w:tcPr>
          <w:p>
            <w:r/>
            <w:r>
              <w:rPr>
                <w:rFonts w:ascii="Calibri" w:hAnsi="Calibri"/>
                <w:sz w:val="20"/>
              </w:rPr>
              <w:t>Amgen's teprotumumab-trbw; IV TED biologic; approved 2020; ~$1.9B FY2024 US revenue</w:t>
            </w:r>
          </w:p>
        </w:tc>
      </w:tr>
      <w:tr>
        <w:tc>
          <w:tcPr>
            <w:tcW w:type="dxa" w:w="2304"/>
          </w:tcPr>
          <w:p>
            <w:r/>
            <w:r>
              <w:rPr>
                <w:rFonts w:ascii="Calibri" w:hAnsi="Calibri"/>
                <w:sz w:val="20"/>
              </w:rPr>
              <w:t>SI</w:t>
            </w:r>
          </w:p>
        </w:tc>
        <w:tc>
          <w:tcPr>
            <w:tcW w:type="dxa" w:w="7056"/>
          </w:tcPr>
          <w:p>
            <w:r/>
            <w:r>
              <w:rPr>
                <w:rFonts w:ascii="Calibri" w:hAnsi="Calibri"/>
                <w:sz w:val="20"/>
              </w:rPr>
              <w:t>Short Interest</w:t>
            </w:r>
          </w:p>
        </w:tc>
      </w:tr>
      <w:tr>
        <w:tc>
          <w:tcPr>
            <w:tcW w:type="dxa" w:w="2304"/>
          </w:tcPr>
          <w:p>
            <w:r/>
            <w:r>
              <w:rPr>
                <w:rFonts w:ascii="Calibri" w:hAnsi="Calibri"/>
                <w:sz w:val="20"/>
              </w:rPr>
              <w:t>ADV</w:t>
            </w:r>
          </w:p>
        </w:tc>
        <w:tc>
          <w:tcPr>
            <w:tcW w:type="dxa" w:w="7056"/>
          </w:tcPr>
          <w:p>
            <w:r/>
            <w:r>
              <w:rPr>
                <w:rFonts w:ascii="Calibri" w:hAnsi="Calibri"/>
                <w:sz w:val="20"/>
              </w:rPr>
              <w:t>Average Daily dollar Volume</w:t>
            </w:r>
          </w:p>
        </w:tc>
      </w:tr>
      <w:tr>
        <w:tc>
          <w:tcPr>
            <w:tcW w:type="dxa" w:w="2304"/>
          </w:tcPr>
          <w:p>
            <w:r/>
            <w:r>
              <w:rPr>
                <w:rFonts w:ascii="Calibri" w:hAnsi="Calibri"/>
                <w:sz w:val="20"/>
              </w:rPr>
              <w:t>Mcap</w:t>
            </w:r>
          </w:p>
        </w:tc>
        <w:tc>
          <w:tcPr>
            <w:tcW w:type="dxa" w:w="7056"/>
          </w:tcPr>
          <w:p>
            <w:r/>
            <w:r>
              <w:rPr>
                <w:rFonts w:ascii="Calibri" w:hAnsi="Calibri"/>
                <w:sz w:val="20"/>
              </w:rPr>
              <w:t>Market capitalization</w:t>
            </w:r>
          </w:p>
        </w:tc>
      </w:tr>
      <w:tr>
        <w:tc>
          <w:tcPr>
            <w:tcW w:type="dxa" w:w="2304"/>
          </w:tcPr>
          <w:p>
            <w:r/>
            <w:r>
              <w:rPr>
                <w:rFonts w:ascii="Calibri" w:hAnsi="Calibri"/>
                <w:sz w:val="20"/>
              </w:rPr>
              <w:t>OBI</w:t>
            </w:r>
          </w:p>
        </w:tc>
        <w:tc>
          <w:tcPr>
            <w:tcW w:type="dxa" w:w="7056"/>
          </w:tcPr>
          <w:p>
            <w:r/>
            <w:r>
              <w:rPr>
                <w:rFonts w:ascii="Calibri" w:hAnsi="Calibri"/>
                <w:sz w:val="20"/>
              </w:rPr>
              <w:t>On-body injector — delivery form factor for SC biologics</w:t>
            </w:r>
          </w:p>
        </w:tc>
      </w:tr>
      <w:tr>
        <w:tc>
          <w:tcPr>
            <w:tcW w:type="dxa" w:w="2304"/>
          </w:tcPr>
          <w:p>
            <w:r/>
            <w:r>
              <w:rPr>
                <w:rFonts w:ascii="Calibri" w:hAnsi="Calibri"/>
                <w:sz w:val="20"/>
              </w:rPr>
              <w:t>sBLA</w:t>
            </w:r>
          </w:p>
        </w:tc>
        <w:tc>
          <w:tcPr>
            <w:tcW w:type="dxa" w:w="7056"/>
          </w:tcPr>
          <w:p>
            <w:r/>
            <w:r>
              <w:rPr>
                <w:rFonts w:ascii="Calibri" w:hAnsi="Calibri"/>
                <w:sz w:val="20"/>
              </w:rPr>
              <w:t>Supplemental BLA — Amgen's SC Tepezza regulatory path</w:t>
            </w:r>
          </w:p>
        </w:tc>
      </w:tr>
      <w:tr>
        <w:tc>
          <w:tcPr>
            <w:tcW w:type="dxa" w:w="2304"/>
          </w:tcPr>
          <w:p>
            <w:r/>
            <w:r>
              <w:rPr>
                <w:rFonts w:ascii="Calibri" w:hAnsi="Calibri"/>
                <w:sz w:val="20"/>
              </w:rPr>
              <w:t>KOL</w:t>
            </w:r>
          </w:p>
        </w:tc>
        <w:tc>
          <w:tcPr>
            <w:tcW w:type="dxa" w:w="7056"/>
          </w:tcPr>
          <w:p>
            <w:r/>
            <w:r>
              <w:rPr>
                <w:rFonts w:ascii="Calibri" w:hAnsi="Calibri"/>
                <w:sz w:val="20"/>
              </w:rPr>
              <w:t>Key Opinion Leader</w:t>
            </w:r>
          </w:p>
        </w:tc>
      </w:tr>
    </w:tbl>
    <w:p>
      <w:pPr>
        <w:spacing w:line="276" w:lineRule="auto"/>
      </w:pPr>
    </w:p>
    <w:p>
      <w:pPr>
        <w:spacing w:before="240" w:after="80" w:line="276" w:lineRule="auto"/>
      </w:pPr>
      <w:r>
        <w:rPr>
          <w:rFonts w:ascii="Calibri" w:hAnsi="Calibri"/>
          <w:b/>
          <w:sz w:val="36"/>
        </w:rPr>
        <w:t>Summary</w:t>
      </w:r>
    </w:p>
    <w:p>
      <w:pPr>
        <w:spacing w:line="276" w:lineRule="auto"/>
        <w:jc w:val="both"/>
      </w:pPr>
      <w:r>
        <w:rPr>
          <w:rFonts w:ascii="Calibri" w:hAnsi="Calibri"/>
          <w:b w:val="0"/>
          <w:i w:val="0"/>
          <w:sz w:val="22"/>
        </w:rPr>
        <w:t>Viridian Therapeutics has a binary regulatory catalyst on 30 June 2026 — a US Food and Drug Administration PDUFA decision on veligrotug, an intravenous anti-IGF-1R antibody for the treatment of active and chronic Thyroid Eye Disease. The BLA has Priority Review and Breakthrough Therapy Designation. Both pivotal Phase 3 trials (THRIVE active, THRIVE-2 chronic) met primary and all secondary endpoints with clean, robust data. Approval probability is high. The thesis here is not a bet on approvability. It is a bet on an event-driven dislocation. VRDN has fallen roughly 51% from its 52-week high ($34.29 to approximately $14) on two events that are mechanistically unrelated to veligrotug's regulatory outcome: (1) elegrobart (Viridian's follow-on subcutaneous asset) printed Phase 3 REVEAL-1 topline on 30 March 2026 that met its primary endpoint but disappointed the street's higher expectations; and (2) Amgen on 6 April 2026 disclosed superior subcutaneous Tepezza Phase 3 data (77% PRR at week 24 vs. 19.6% placebo). The market has re-priced VRDN's entire franchise value — including veligrotug's near-term approval and first-cycle commercial opportunity — as though the long-dated SC-franchise outcome determines the short-dated IV approval outcome. It does not. The question this thesis answers: at roughly $14–15, does the veligrotug PDUFA alone justify a long equity position into 30 June?</w:t>
      </w:r>
    </w:p>
    <w:p>
      <w:pPr>
        <w:spacing w:before="240" w:after="80" w:line="276" w:lineRule="auto"/>
      </w:pPr>
      <w:r>
        <w:rPr>
          <w:rFonts w:ascii="Calibri" w:hAnsi="Calibri"/>
          <w:b/>
          <w:sz w:val="28"/>
        </w:rPr>
        <w:t>The Case in Five Points</w:t>
      </w:r>
    </w:p>
    <w:p>
      <w:pPr>
        <w:spacing w:line="276" w:lineRule="auto"/>
        <w:jc w:val="both"/>
      </w:pPr>
      <w:r>
        <w:rPr>
          <w:rFonts w:ascii="Calibri" w:hAnsi="Calibri"/>
          <w:b/>
          <w:sz w:val="22"/>
        </w:rPr>
        <w:t xml:space="preserve">1. The regulatory path to approval is as clean as late-stage biologics get. </w:t>
      </w:r>
      <w:r>
        <w:rPr>
          <w:rFonts w:ascii="Calibri" w:hAnsi="Calibri"/>
          <w:sz w:val="22"/>
        </w:rPr>
        <w:t>BLA accepted for Priority Review on 22 December 2025. Both THRIVE and THRIVE-2 Phase 3 trials met primary endpoints with p&lt;0.0001 and statistically significant secondary endpoints. Breakthrough Therapy Designation in place. No AdCom has been scheduled. No FDA communication has signalled a concern. Conditional on the base rate for Priority-Review biologics BLAs with clean pivotal data, approval probability is ~90%.</w:t>
      </w:r>
    </w:p>
    <w:p>
      <w:pPr>
        <w:spacing w:line="276" w:lineRule="auto"/>
        <w:jc w:val="both"/>
      </w:pPr>
      <w:r>
        <w:rPr>
          <w:rFonts w:ascii="Calibri" w:hAnsi="Calibri"/>
          <w:b/>
          <w:sz w:val="22"/>
        </w:rPr>
        <w:t xml:space="preserve">2. The sell-off is about the wrong asset. </w:t>
      </w:r>
      <w:r>
        <w:rPr>
          <w:rFonts w:ascii="Calibri" w:hAnsi="Calibri"/>
          <w:sz w:val="22"/>
        </w:rPr>
        <w:t>VRDN has two assets in TED: veligrotug (IV, the PDUFA catalyst) and elegrobart (SC, the follow-on franchise play). Recent negative data (REVEAL-1 disappointment, Amgen SC Tepezza superiority) is entirely about elegrobart's long-dated franchise competitiveness. Veligrotug competes against IV Tepezza — not SC Tepezza — and retains real differentiation on dosing convenience (5 infusions vs 8) and chronic-TED indication (where Tepezza IV has no label today). The market has conflated two distinct competitive frames.</w:t>
      </w:r>
    </w:p>
    <w:p>
      <w:pPr>
        <w:spacing w:line="276" w:lineRule="auto"/>
        <w:jc w:val="both"/>
      </w:pPr>
      <w:r>
        <w:rPr>
          <w:rFonts w:ascii="Calibri" w:hAnsi="Calibri"/>
          <w:b/>
          <w:sz w:val="22"/>
        </w:rPr>
        <w:t xml:space="preserve">3. The clinical differentiation versus IV Tepezza is real, not marketing. </w:t>
      </w:r>
      <w:r>
        <w:rPr>
          <w:rFonts w:ascii="Calibri" w:hAnsi="Calibri"/>
          <w:sz w:val="22"/>
        </w:rPr>
        <w:t>Veligrotug's THRIVE data: 70% PRR (placebo-adjusted 64%), 2.9mm mean proptosis reduction, 54% complete diplopia resolution, and critically — 5.5% placebo-adjusted hearing impairment rate vs Tepezza IV's historical ~10%. Hearing loss is the dominant off-target safety concern for IGF-1R biologics in TED. A differentiated safety profile opens the label to chronic and re-treatment populations that Tepezza IV cannot reliably serve.</w:t>
      </w:r>
    </w:p>
    <w:p>
      <w:pPr>
        <w:spacing w:line="276" w:lineRule="auto"/>
        <w:jc w:val="both"/>
      </w:pPr>
      <w:r>
        <w:rPr>
          <w:rFonts w:ascii="Calibri" w:hAnsi="Calibri"/>
          <w:b/>
          <w:sz w:val="22"/>
        </w:rPr>
        <w:t xml:space="preserve">4. The valuation discount is pricing a CRL scenario that the data does not support. </w:t>
      </w:r>
      <w:r>
        <w:rPr>
          <w:rFonts w:ascii="Calibri" w:hAnsi="Calibri"/>
          <w:sz w:val="22"/>
        </w:rPr>
        <w:t>At ~$14, VRDN trades materially below even the most bearish analyst price target post-cuts ($20 Wells Fargo / $22 HC Wainwright). The implied equity value ~$1.45B is less than the expected peak veligrotug franchise economics justify even under aggressive Amgen SC Tepezza competitive pressure. Cash at year-end was substantial (company guidance has cited $875M+ in prior quarters); no dilution event is forced before the PDUFA. The downside from current levels on approval-with-constrained-commercial is limited; the downside on CRL is severe (-40% to -55% tail).</w:t>
      </w:r>
    </w:p>
    <w:p>
      <w:pPr>
        <w:spacing w:line="276" w:lineRule="auto"/>
        <w:jc w:val="both"/>
      </w:pPr>
      <w:r>
        <w:rPr>
          <w:rFonts w:ascii="Calibri" w:hAnsi="Calibri"/>
          <w:b/>
          <w:sz w:val="22"/>
        </w:rPr>
        <w:t xml:space="preserve">5. Short interest, options flow, and institutional positioning suggest a bi-modal catalyst trade. </w:t>
      </w:r>
      <w:r>
        <w:rPr>
          <w:rFonts w:ascii="Calibri" w:hAnsi="Calibri"/>
          <w:sz w:val="22"/>
        </w:rPr>
        <w:t>Put-option volume was reported elevated in early April (puts purchased aggressively on 6 April per Markets Daily). Short interest is elevated but precise figures unverified here. Institutional holders have trimmed positions (at least one $80M+ reduction reported March 2026), but consensus remains Strong Buy across 11–12 covering analysts with an average price target of approximately $34–41 (depending on post-cut survey). Positioning is skewed toward caution — which means approval surprise is the less-priced-in scenario, and that is where the asymmetry lives.</w:t>
      </w:r>
    </w:p>
    <w:p>
      <w:pPr>
        <w:spacing w:before="240" w:after="80" w:line="276" w:lineRule="auto"/>
      </w:pPr>
      <w:r>
        <w:rPr>
          <w:rFonts w:ascii="Calibri" w:hAnsi="Calibri"/>
          <w:b/>
          <w:sz w:val="28"/>
        </w:rPr>
        <w:t>Key Numbers</w:t>
      </w:r>
    </w:p>
    <w:tbl>
      <w:tblPr>
        <w:tblStyle w:val="TableGrid"/>
        <w:tblW w:type="auto" w:w="0"/>
        <w:tblLook w:firstColumn="1" w:firstRow="1" w:lastColumn="0" w:lastRow="0" w:noHBand="0" w:noVBand="1" w:val="04A0"/>
      </w:tblPr>
      <w:tblGrid>
        <w:gridCol w:w="3120"/>
        <w:gridCol w:w="3120"/>
        <w:gridCol w:w="3120"/>
      </w:tblGrid>
      <w:tr>
        <w:tc>
          <w:tcPr>
            <w:tcW w:type="dxa" w:w="3456"/>
            <w:shd w:val="clear" w:color="auto" w:fill="D9D9D9"/>
          </w:tcPr>
          <w:p>
            <w:r/>
            <w:r>
              <w:rPr>
                <w:rFonts w:ascii="Calibri" w:hAnsi="Calibri"/>
                <w:b/>
                <w:sz w:val="20"/>
              </w:rPr>
              <w:t>Metric</w:t>
            </w:r>
          </w:p>
        </w:tc>
        <w:tc>
          <w:tcPr>
            <w:tcW w:type="dxa" w:w="2880"/>
            <w:shd w:val="clear" w:color="auto" w:fill="D9D9D9"/>
          </w:tcPr>
          <w:p>
            <w:r/>
            <w:r>
              <w:rPr>
                <w:rFonts w:ascii="Calibri" w:hAnsi="Calibri"/>
                <w:b/>
                <w:sz w:val="20"/>
              </w:rPr>
              <w:t>Value</w:t>
            </w:r>
          </w:p>
        </w:tc>
        <w:tc>
          <w:tcPr>
            <w:tcW w:type="dxa" w:w="3024"/>
            <w:shd w:val="clear" w:color="auto" w:fill="D9D9D9"/>
          </w:tcPr>
          <w:p>
            <w:r/>
            <w:r>
              <w:rPr>
                <w:rFonts w:ascii="Calibri" w:hAnsi="Calibri"/>
                <w:b/>
                <w:sz w:val="20"/>
              </w:rPr>
              <w:t>Note</w:t>
            </w:r>
          </w:p>
        </w:tc>
      </w:tr>
      <w:tr>
        <w:tc>
          <w:tcPr>
            <w:tcW w:type="dxa" w:w="3456"/>
          </w:tcPr>
          <w:p>
            <w:r/>
            <w:r>
              <w:rPr>
                <w:rFonts w:ascii="Calibri" w:hAnsi="Calibri"/>
                <w:sz w:val="20"/>
              </w:rPr>
              <w:t>Current price (c. 9 Apr 2026 close)</w:t>
            </w:r>
          </w:p>
        </w:tc>
        <w:tc>
          <w:tcPr>
            <w:tcW w:type="dxa" w:w="2880"/>
          </w:tcPr>
          <w:p>
            <w:r/>
            <w:r>
              <w:rPr>
                <w:rFonts w:ascii="Calibri" w:hAnsi="Calibri"/>
                <w:sz w:val="20"/>
              </w:rPr>
              <w:t>~$14.33–$15.38</w:t>
            </w:r>
          </w:p>
        </w:tc>
        <w:tc>
          <w:tcPr>
            <w:tcW w:type="dxa" w:w="3024"/>
          </w:tcPr>
          <w:p>
            <w:r/>
            <w:r>
              <w:rPr>
                <w:rFonts w:ascii="Calibri" w:hAnsi="Calibri"/>
                <w:sz w:val="20"/>
              </w:rPr>
              <w:t>51% below 52-week high of $34.29; three-day recovery from $13.90 Apr 6 low</w:t>
            </w:r>
          </w:p>
        </w:tc>
      </w:tr>
      <w:tr>
        <w:tc>
          <w:tcPr>
            <w:tcW w:type="dxa" w:w="3456"/>
          </w:tcPr>
          <w:p>
            <w:r/>
            <w:r>
              <w:rPr>
                <w:rFonts w:ascii="Calibri" w:hAnsi="Calibri"/>
                <w:sz w:val="20"/>
              </w:rPr>
              <w:t>Market capitalization</w:t>
            </w:r>
          </w:p>
        </w:tc>
        <w:tc>
          <w:tcPr>
            <w:tcW w:type="dxa" w:w="2880"/>
          </w:tcPr>
          <w:p>
            <w:r/>
            <w:r>
              <w:rPr>
                <w:rFonts w:ascii="Calibri" w:hAnsi="Calibri"/>
                <w:sz w:val="20"/>
              </w:rPr>
              <w:t>~$1.45–$1.57B</w:t>
            </w:r>
          </w:p>
        </w:tc>
        <w:tc>
          <w:tcPr>
            <w:tcW w:type="dxa" w:w="3024"/>
          </w:tcPr>
          <w:p>
            <w:r/>
            <w:r>
              <w:rPr>
                <w:rFonts w:ascii="Calibri" w:hAnsi="Calibri"/>
                <w:sz w:val="20"/>
              </w:rPr>
              <w:t>~102M shares outstanding</w:t>
            </w:r>
          </w:p>
        </w:tc>
      </w:tr>
      <w:tr>
        <w:tc>
          <w:tcPr>
            <w:tcW w:type="dxa" w:w="3456"/>
          </w:tcPr>
          <w:p>
            <w:r/>
            <w:r>
              <w:rPr>
                <w:rFonts w:ascii="Calibri" w:hAnsi="Calibri"/>
                <w:sz w:val="20"/>
              </w:rPr>
              <w:t>52-week range</w:t>
            </w:r>
          </w:p>
        </w:tc>
        <w:tc>
          <w:tcPr>
            <w:tcW w:type="dxa" w:w="2880"/>
          </w:tcPr>
          <w:p>
            <w:r/>
            <w:r>
              <w:rPr>
                <w:rFonts w:ascii="Calibri" w:hAnsi="Calibri"/>
                <w:sz w:val="20"/>
              </w:rPr>
              <w:t>$9.90–$34.29</w:t>
            </w:r>
          </w:p>
        </w:tc>
        <w:tc>
          <w:tcPr>
            <w:tcW w:type="dxa" w:w="3024"/>
          </w:tcPr>
          <w:p>
            <w:r/>
            <w:r>
              <w:rPr>
                <w:rFonts w:ascii="Calibri" w:hAnsi="Calibri"/>
                <w:sz w:val="20"/>
              </w:rPr>
              <w:t>Range reflects severe dislocation in past 30 days</w:t>
            </w:r>
          </w:p>
        </w:tc>
      </w:tr>
      <w:tr>
        <w:tc>
          <w:tcPr>
            <w:tcW w:type="dxa" w:w="3456"/>
          </w:tcPr>
          <w:p>
            <w:r/>
            <w:r>
              <w:rPr>
                <w:rFonts w:ascii="Calibri" w:hAnsi="Calibri"/>
                <w:sz w:val="20"/>
              </w:rPr>
              <w:t>Consensus rating (11–12 analysts)</w:t>
            </w:r>
          </w:p>
        </w:tc>
        <w:tc>
          <w:tcPr>
            <w:tcW w:type="dxa" w:w="2880"/>
          </w:tcPr>
          <w:p>
            <w:r/>
            <w:r>
              <w:rPr>
                <w:rFonts w:ascii="Calibri" w:hAnsi="Calibri"/>
                <w:sz w:val="20"/>
              </w:rPr>
              <w:t>Strong Buy</w:t>
            </w:r>
          </w:p>
        </w:tc>
        <w:tc>
          <w:tcPr>
            <w:tcW w:type="dxa" w:w="3024"/>
          </w:tcPr>
          <w:p>
            <w:r/>
            <w:r>
              <w:rPr>
                <w:rFonts w:ascii="Calibri" w:hAnsi="Calibri"/>
                <w:sz w:val="20"/>
              </w:rPr>
              <w:t>No downgrades to Sell; multiple PT cuts, no rating cuts</w:t>
            </w:r>
          </w:p>
        </w:tc>
      </w:tr>
      <w:tr>
        <w:tc>
          <w:tcPr>
            <w:tcW w:type="dxa" w:w="3456"/>
          </w:tcPr>
          <w:p>
            <w:r/>
            <w:r>
              <w:rPr>
                <w:rFonts w:ascii="Calibri" w:hAnsi="Calibri"/>
                <w:sz w:val="20"/>
              </w:rPr>
              <w:t>Average analyst price target (post-cuts)</w:t>
            </w:r>
          </w:p>
        </w:tc>
        <w:tc>
          <w:tcPr>
            <w:tcW w:type="dxa" w:w="2880"/>
          </w:tcPr>
          <w:p>
            <w:r/>
            <w:r>
              <w:rPr>
                <w:rFonts w:ascii="Calibri" w:hAnsi="Calibri"/>
                <w:sz w:val="20"/>
              </w:rPr>
              <w:t>~$34–41</w:t>
            </w:r>
          </w:p>
        </w:tc>
        <w:tc>
          <w:tcPr>
            <w:tcW w:type="dxa" w:w="3024"/>
          </w:tcPr>
          <w:p>
            <w:r/>
            <w:r>
              <w:rPr>
                <w:rFonts w:ascii="Calibri" w:hAnsi="Calibri"/>
                <w:sz w:val="20"/>
              </w:rPr>
              <w:t>Evercore $32, RBC $30, Goldman $31, Wedbush $37, Wells Fargo $20 (lowest), HC Wainwright $22</w:t>
            </w:r>
          </w:p>
        </w:tc>
      </w:tr>
      <w:tr>
        <w:tc>
          <w:tcPr>
            <w:tcW w:type="dxa" w:w="3456"/>
          </w:tcPr>
          <w:p>
            <w:r/>
            <w:r>
              <w:rPr>
                <w:rFonts w:ascii="Calibri" w:hAnsi="Calibri"/>
                <w:sz w:val="20"/>
              </w:rPr>
              <w:t>PDUFA target action date</w:t>
            </w:r>
          </w:p>
        </w:tc>
        <w:tc>
          <w:tcPr>
            <w:tcW w:type="dxa" w:w="2880"/>
          </w:tcPr>
          <w:p>
            <w:r/>
            <w:r>
              <w:rPr>
                <w:rFonts w:ascii="Calibri" w:hAnsi="Calibri"/>
                <w:sz w:val="20"/>
              </w:rPr>
              <w:t>30 June 2026</w:t>
            </w:r>
          </w:p>
        </w:tc>
        <w:tc>
          <w:tcPr>
            <w:tcW w:type="dxa" w:w="3024"/>
          </w:tcPr>
          <w:p>
            <w:r/>
            <w:r>
              <w:rPr>
                <w:rFonts w:ascii="Calibri" w:hAnsi="Calibri"/>
                <w:sz w:val="20"/>
              </w:rPr>
              <w:t>T-minus 77 calendar days from this note</w:t>
            </w:r>
          </w:p>
        </w:tc>
      </w:tr>
      <w:tr>
        <w:tc>
          <w:tcPr>
            <w:tcW w:type="dxa" w:w="3456"/>
          </w:tcPr>
          <w:p>
            <w:r/>
            <w:r>
              <w:rPr>
                <w:rFonts w:ascii="Calibri" w:hAnsi="Calibri"/>
                <w:sz w:val="20"/>
              </w:rPr>
              <w:t>Regulatory designations</w:t>
            </w:r>
          </w:p>
        </w:tc>
        <w:tc>
          <w:tcPr>
            <w:tcW w:type="dxa" w:w="2880"/>
          </w:tcPr>
          <w:p>
            <w:r/>
            <w:r>
              <w:rPr>
                <w:rFonts w:ascii="Calibri" w:hAnsi="Calibri"/>
                <w:sz w:val="20"/>
              </w:rPr>
              <w:t>BTD + Priority Review</w:t>
            </w:r>
          </w:p>
        </w:tc>
        <w:tc>
          <w:tcPr>
            <w:tcW w:type="dxa" w:w="3024"/>
          </w:tcPr>
          <w:p>
            <w:r/>
            <w:r>
              <w:rPr>
                <w:rFonts w:ascii="Calibri" w:hAnsi="Calibri"/>
                <w:sz w:val="20"/>
              </w:rPr>
              <w:t>No AdCom convened</w:t>
            </w:r>
          </w:p>
        </w:tc>
      </w:tr>
      <w:tr>
        <w:tc>
          <w:tcPr>
            <w:tcW w:type="dxa" w:w="3456"/>
          </w:tcPr>
          <w:p>
            <w:r/>
            <w:r>
              <w:rPr>
                <w:rFonts w:ascii="Calibri" w:hAnsi="Calibri"/>
                <w:sz w:val="20"/>
              </w:rPr>
              <w:t>THRIVE (active TED) PRR</w:t>
            </w:r>
          </w:p>
        </w:tc>
        <w:tc>
          <w:tcPr>
            <w:tcW w:type="dxa" w:w="2880"/>
          </w:tcPr>
          <w:p>
            <w:r/>
            <w:r>
              <w:rPr>
                <w:rFonts w:ascii="Calibri" w:hAnsi="Calibri"/>
                <w:sz w:val="20"/>
              </w:rPr>
              <w:t>70% atacicept vs 5% placebo</w:t>
            </w:r>
          </w:p>
        </w:tc>
        <w:tc>
          <w:tcPr>
            <w:tcW w:type="dxa" w:w="3024"/>
          </w:tcPr>
          <w:p>
            <w:r/>
            <w:r>
              <w:rPr>
                <w:rFonts w:ascii="Calibri" w:hAnsi="Calibri"/>
                <w:sz w:val="20"/>
              </w:rPr>
              <w:t>Placebo-adjusted 64% (p&lt;0.0001)</w:t>
            </w:r>
          </w:p>
        </w:tc>
      </w:tr>
      <w:tr>
        <w:tc>
          <w:tcPr>
            <w:tcW w:type="dxa" w:w="3456"/>
          </w:tcPr>
          <w:p>
            <w:r/>
            <w:r>
              <w:rPr>
                <w:rFonts w:ascii="Calibri" w:hAnsi="Calibri"/>
                <w:sz w:val="20"/>
              </w:rPr>
              <w:t>THRIVE (active TED) proptosis</w:t>
            </w:r>
          </w:p>
        </w:tc>
        <w:tc>
          <w:tcPr>
            <w:tcW w:type="dxa" w:w="2880"/>
          </w:tcPr>
          <w:p>
            <w:r/>
            <w:r>
              <w:rPr>
                <w:rFonts w:ascii="Calibri" w:hAnsi="Calibri"/>
                <w:sz w:val="20"/>
              </w:rPr>
              <w:t>2.9mm mean reduction</w:t>
            </w:r>
          </w:p>
        </w:tc>
        <w:tc>
          <w:tcPr>
            <w:tcW w:type="dxa" w:w="3024"/>
          </w:tcPr>
          <w:p>
            <w:r/>
            <w:r>
              <w:rPr>
                <w:rFonts w:ascii="Calibri" w:hAnsi="Calibri"/>
                <w:sz w:val="20"/>
              </w:rPr>
              <w:t>vs 0.5mm placebo</w:t>
            </w:r>
          </w:p>
        </w:tc>
      </w:tr>
      <w:tr>
        <w:tc>
          <w:tcPr>
            <w:tcW w:type="dxa" w:w="3456"/>
          </w:tcPr>
          <w:p>
            <w:r/>
            <w:r>
              <w:rPr>
                <w:rFonts w:ascii="Calibri" w:hAnsi="Calibri"/>
                <w:sz w:val="20"/>
              </w:rPr>
              <w:t>THRIVE (active TED) hearing impairment</w:t>
            </w:r>
          </w:p>
        </w:tc>
        <w:tc>
          <w:tcPr>
            <w:tcW w:type="dxa" w:w="2880"/>
          </w:tcPr>
          <w:p>
            <w:r/>
            <w:r>
              <w:rPr>
                <w:rFonts w:ascii="Calibri" w:hAnsi="Calibri"/>
                <w:sz w:val="20"/>
              </w:rPr>
              <w:t>16% vs 10.5% placebo</w:t>
            </w:r>
          </w:p>
        </w:tc>
        <w:tc>
          <w:tcPr>
            <w:tcW w:type="dxa" w:w="3024"/>
          </w:tcPr>
          <w:p>
            <w:r/>
            <w:r>
              <w:rPr>
                <w:rFonts w:ascii="Calibri" w:hAnsi="Calibri"/>
                <w:sz w:val="20"/>
              </w:rPr>
              <w:t>Placebo-adjusted 5.5% — better than Tepezza IV ~10%</w:t>
            </w:r>
          </w:p>
        </w:tc>
      </w:tr>
      <w:tr>
        <w:tc>
          <w:tcPr>
            <w:tcW w:type="dxa" w:w="3456"/>
          </w:tcPr>
          <w:p>
            <w:r/>
            <w:r>
              <w:rPr>
                <w:rFonts w:ascii="Calibri" w:hAnsi="Calibri"/>
                <w:sz w:val="20"/>
              </w:rPr>
              <w:t>THRIVE-2 (chronic TED) PRR</w:t>
            </w:r>
          </w:p>
        </w:tc>
        <w:tc>
          <w:tcPr>
            <w:tcW w:type="dxa" w:w="2880"/>
          </w:tcPr>
          <w:p>
            <w:r/>
            <w:r>
              <w:rPr>
                <w:rFonts w:ascii="Calibri" w:hAnsi="Calibri"/>
                <w:sz w:val="20"/>
              </w:rPr>
              <w:t>56% vs 8% placebo</w:t>
            </w:r>
          </w:p>
        </w:tc>
        <w:tc>
          <w:tcPr>
            <w:tcW w:type="dxa" w:w="3024"/>
          </w:tcPr>
          <w:p>
            <w:r/>
            <w:r>
              <w:rPr>
                <w:rFonts w:ascii="Calibri" w:hAnsi="Calibri"/>
                <w:sz w:val="20"/>
              </w:rPr>
              <w:t>Placebo-adjusted 48% (p&lt;0.0001) — unique chronic data</w:t>
            </w:r>
          </w:p>
        </w:tc>
      </w:tr>
      <w:tr>
        <w:tc>
          <w:tcPr>
            <w:tcW w:type="dxa" w:w="3456"/>
          </w:tcPr>
          <w:p>
            <w:r/>
            <w:r>
              <w:rPr>
                <w:rFonts w:ascii="Calibri" w:hAnsi="Calibri"/>
                <w:sz w:val="20"/>
              </w:rPr>
              <w:t>Amgen SC Tepezza (competitor) PRR</w:t>
            </w:r>
          </w:p>
        </w:tc>
        <w:tc>
          <w:tcPr>
            <w:tcW w:type="dxa" w:w="2880"/>
          </w:tcPr>
          <w:p>
            <w:r/>
            <w:r>
              <w:rPr>
                <w:rFonts w:ascii="Calibri" w:hAnsi="Calibri"/>
                <w:sz w:val="20"/>
              </w:rPr>
              <w:t>76.7% at week 24 vs 19.6% placebo</w:t>
            </w:r>
          </w:p>
        </w:tc>
        <w:tc>
          <w:tcPr>
            <w:tcW w:type="dxa" w:w="3024"/>
          </w:tcPr>
          <w:p>
            <w:r/>
            <w:r>
              <w:rPr>
                <w:rFonts w:ascii="Calibri" w:hAnsi="Calibri"/>
                <w:sz w:val="20"/>
              </w:rPr>
              <w:t>Apr 6, 2026 readout — elegrobart competitor, NOT veligrotug competitor</w:t>
            </w:r>
          </w:p>
        </w:tc>
      </w:tr>
      <w:tr>
        <w:tc>
          <w:tcPr>
            <w:tcW w:type="dxa" w:w="3456"/>
          </w:tcPr>
          <w:p>
            <w:r/>
            <w:r>
              <w:rPr>
                <w:rFonts w:ascii="Calibri" w:hAnsi="Calibri"/>
                <w:sz w:val="20"/>
              </w:rPr>
              <w:t>TED market (2024 US)</w:t>
            </w:r>
          </w:p>
        </w:tc>
        <w:tc>
          <w:tcPr>
            <w:tcW w:type="dxa" w:w="2880"/>
          </w:tcPr>
          <w:p>
            <w:r/>
            <w:r>
              <w:rPr>
                <w:rFonts w:ascii="Calibri" w:hAnsi="Calibri"/>
                <w:sz w:val="20"/>
              </w:rPr>
              <w:t>~$1.9B Tepezza revenue</w:t>
            </w:r>
          </w:p>
        </w:tc>
        <w:tc>
          <w:tcPr>
            <w:tcW w:type="dxa" w:w="3024"/>
          </w:tcPr>
          <w:p>
            <w:r/>
            <w:r>
              <w:rPr>
                <w:rFonts w:ascii="Calibri" w:hAnsi="Calibri"/>
                <w:sz w:val="20"/>
              </w:rPr>
              <w:t>~40% NA share of global ~$2.26B TED market</w:t>
            </w:r>
          </w:p>
        </w:tc>
      </w:tr>
      <w:tr>
        <w:tc>
          <w:tcPr>
            <w:tcW w:type="dxa" w:w="3456"/>
          </w:tcPr>
          <w:p>
            <w:r/>
            <w:r>
              <w:rPr>
                <w:rFonts w:ascii="Calibri" w:hAnsi="Calibri"/>
                <w:sz w:val="20"/>
              </w:rPr>
              <w:t>US TED diagnosed prevalence</w:t>
            </w:r>
          </w:p>
        </w:tc>
        <w:tc>
          <w:tcPr>
            <w:tcW w:type="dxa" w:w="2880"/>
          </w:tcPr>
          <w:p>
            <w:r/>
            <w:r>
              <w:rPr>
                <w:rFonts w:ascii="Calibri" w:hAnsi="Calibri"/>
                <w:sz w:val="20"/>
              </w:rPr>
              <w:t>~1.4M globally; ~400–560k US</w:t>
            </w:r>
          </w:p>
        </w:tc>
        <w:tc>
          <w:tcPr>
            <w:tcW w:type="dxa" w:w="3024"/>
          </w:tcPr>
          <w:p>
            <w:r/>
            <w:r>
              <w:rPr>
                <w:rFonts w:ascii="Calibri" w:hAnsi="Calibri"/>
                <w:sz w:val="20"/>
              </w:rPr>
              <w:t>20% receive targeted therapy today — penetration headroom</w:t>
            </w:r>
          </w:p>
        </w:tc>
      </w:tr>
      <w:tr>
        <w:tc>
          <w:tcPr>
            <w:tcW w:type="dxa" w:w="3456"/>
          </w:tcPr>
          <w:p>
            <w:r/>
            <w:r>
              <w:rPr>
                <w:rFonts w:ascii="Calibri" w:hAnsi="Calibri"/>
                <w:sz w:val="20"/>
              </w:rPr>
              <w:t>Short interest</w:t>
            </w:r>
          </w:p>
        </w:tc>
        <w:tc>
          <w:tcPr>
            <w:tcW w:type="dxa" w:w="2880"/>
          </w:tcPr>
          <w:p>
            <w:r/>
            <w:r>
              <w:rPr>
                <w:rFonts w:ascii="Calibri" w:hAnsi="Calibri"/>
                <w:sz w:val="20"/>
              </w:rPr>
              <w:t>Elevated (not independently verified)</w:t>
            </w:r>
          </w:p>
        </w:tc>
        <w:tc>
          <w:tcPr>
            <w:tcW w:type="dxa" w:w="3024"/>
          </w:tcPr>
          <w:p>
            <w:r/>
            <w:r>
              <w:rPr>
                <w:rFonts w:ascii="Calibri" w:hAnsi="Calibri"/>
                <w:sz w:val="20"/>
              </w:rPr>
              <w:t>Put option buying reported 6 Apr 2026</w:t>
            </w:r>
          </w:p>
        </w:tc>
      </w:tr>
      <w:tr>
        <w:tc>
          <w:tcPr>
            <w:tcW w:type="dxa" w:w="3456"/>
          </w:tcPr>
          <w:p>
            <w:r/>
            <w:r>
              <w:rPr>
                <w:rFonts w:ascii="Calibri" w:hAnsi="Calibri"/>
                <w:sz w:val="20"/>
              </w:rPr>
              <w:t>Investment score (internal, 7-dim)</w:t>
            </w:r>
          </w:p>
        </w:tc>
        <w:tc>
          <w:tcPr>
            <w:tcW w:type="dxa" w:w="2880"/>
          </w:tcPr>
          <w:p>
            <w:r/>
            <w:r>
              <w:rPr>
                <w:rFonts w:ascii="Calibri" w:hAnsi="Calibri"/>
                <w:sz w:val="20"/>
              </w:rPr>
              <w:t>26.0 / 42.5</w:t>
            </w:r>
          </w:p>
        </w:tc>
        <w:tc>
          <w:tcPr>
            <w:tcW w:type="dxa" w:w="3024"/>
          </w:tcPr>
          <w:p>
            <w:r/>
            <w:r>
              <w:rPr>
                <w:rFonts w:ascii="Calibri" w:hAnsi="Calibri"/>
                <w:sz w:val="20"/>
              </w:rPr>
              <w:t>Watchlist tier after Session 26 demotion from 31.5</w:t>
            </w:r>
          </w:p>
        </w:tc>
      </w:tr>
    </w:tbl>
    <w:p>
      <w:pPr>
        <w:spacing w:before="240" w:after="80" w:line="276" w:lineRule="auto"/>
      </w:pPr>
      <w:r>
        <w:rPr>
          <w:rFonts w:ascii="Calibri" w:hAnsi="Calibri"/>
          <w:b/>
          <w:sz w:val="28"/>
        </w:rPr>
        <w:t>The Asymmetry</w:t>
      </w:r>
    </w:p>
    <w:p>
      <w:pPr>
        <w:spacing w:line="276" w:lineRule="auto"/>
        <w:jc w:val="both"/>
      </w:pPr>
      <w:r>
        <w:rPr>
          <w:rFonts w:ascii="Calibri" w:hAnsi="Calibri"/>
          <w:b/>
          <w:sz w:val="22"/>
        </w:rPr>
        <w:t xml:space="preserve">Base case (~60%): Approval on 30 June 2026 with a label covering active and chronic TED. </w:t>
      </w:r>
      <w:r>
        <w:rPr>
          <w:rFonts w:ascii="Calibri" w:hAnsi="Calibri"/>
          <w:sz w:val="22"/>
        </w:rPr>
        <w:t>Stock re-rates to the $22–$30 range as the dislocation closes and veligrotug's differentiated safety/dosing profile gets repriced against Tepezza IV. Roughly +50% to +105% from current spot.</w:t>
      </w:r>
    </w:p>
    <w:p>
      <w:pPr>
        <w:spacing w:line="276" w:lineRule="auto"/>
        <w:jc w:val="both"/>
      </w:pPr>
      <w:r>
        <w:rPr>
          <w:rFonts w:ascii="Calibri" w:hAnsi="Calibri"/>
          <w:b/>
          <w:sz w:val="22"/>
        </w:rPr>
        <w:t xml:space="preserve">Bull case (~15%): Approval with broadest-possible label, positive REVEAL-2 readout in Q2 2026 restoring elegrobart franchise confidence, and/or Amgen pricing discipline on SC Tepezza. </w:t>
      </w:r>
      <w:r>
        <w:rPr>
          <w:rFonts w:ascii="Calibri" w:hAnsi="Calibri"/>
          <w:sz w:val="22"/>
        </w:rPr>
        <w:t>Stock trades to $30–$42, in-line with consensus PTs before the March cuts. Roughly +100% to +180%.</w:t>
      </w:r>
    </w:p>
    <w:p>
      <w:pPr>
        <w:spacing w:line="276" w:lineRule="auto"/>
        <w:jc w:val="both"/>
      </w:pPr>
      <w:r>
        <w:rPr>
          <w:rFonts w:ascii="Calibri" w:hAnsi="Calibri"/>
          <w:b/>
          <w:sz w:val="22"/>
        </w:rPr>
        <w:t xml:space="preserve">Bear case (~25%): CRL, narrow-label (active TED only — no chronic), or PDUFA extension with Major Amendment. </w:t>
      </w:r>
      <w:r>
        <w:rPr>
          <w:rFonts w:ascii="Calibri" w:hAnsi="Calibri"/>
          <w:sz w:val="22"/>
        </w:rPr>
        <w:t>Stock compresses to $8–$10 on CRL, $11–$13 on narrow-label, $12–$14 on extension. Roughly -10% to -45% from current spot.</w:t>
      </w:r>
    </w:p>
    <w:p>
      <w:pPr>
        <w:spacing w:line="276" w:lineRule="auto"/>
        <w:jc w:val="both"/>
      </w:pPr>
      <w:r>
        <w:rPr>
          <w:rFonts w:ascii="Calibri" w:hAnsi="Calibri"/>
          <w:b w:val="0"/>
          <w:i w:val="0"/>
          <w:sz w:val="22"/>
        </w:rPr>
        <w:t>Probability-weighted expected return: approximately +35% to +55% from current spot, with a wider tail than VERA. The reason to own VRDN over VERA is precisely because the dislocation is deeper and the implied CRL probability in the tape appears excessive. The reason NOT to own it is that the long-dated franchise value question (elegrobart vs SC Tepezza) remains unresolved and will drag on any post-approval re-rating until REVEAL-2 clarifies.</w:t>
      </w:r>
    </w:p>
    <w:p>
      <w:pPr>
        <w:spacing w:before="240" w:after="80" w:line="276" w:lineRule="auto"/>
      </w:pPr>
      <w:r>
        <w:rPr>
          <w:rFonts w:ascii="Calibri" w:hAnsi="Calibri"/>
          <w:b/>
          <w:sz w:val="28"/>
        </w:rPr>
        <w:t>Recommendation</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Hold / Modest Buy — event-driven, size-capped. Watchlist tier.</w:t>
            </w:r>
          </w:p>
          <w:p>
            <w:pPr>
              <w:jc w:val="both"/>
            </w:pPr>
            <w:r>
              <w:rPr>
                <w:rFonts w:ascii="Calibri" w:hAnsi="Calibri"/>
                <w:sz w:val="22"/>
              </w:rPr>
              <w:t>Position equity long into the 30 June 2026 PDUFA at a smaller size than the internal score suggests on its own — this is a 1.5–3% of risk-budget satellite trade, not a core conviction bet. The dislocation is real and the approval path is clean, but the overhang of the elegrobart franchise uncertainty caps the post-approval re-rating until REVEAL-2 reads out. Entry staged: 50% immediately, 25% into any drawdown before T-30 (c. 31 May), 25% held for T-7 tape-read. Exit on approval print unless REVEAL-2 has already readout positive (in which case hold the franchise thesis). Kill-condition 3 (stock &gt; $20 pre-PDUFA) caps upside before the catalyst and forces re-evaluation.</w:t>
            </w:r>
          </w:p>
        </w:tc>
      </w:tr>
    </w:tbl>
    <w:p>
      <w:pPr>
        <w:spacing w:line="276" w:lineRule="auto"/>
        <w:jc w:val="both"/>
      </w:pPr>
      <w:r>
        <w:rPr>
          <w:rFonts w:ascii="Calibri" w:hAnsi="Calibri"/>
          <w:b w:val="0"/>
          <w:i/>
          <w:sz w:val="22"/>
        </w:rPr>
        <w:t>Full thesis, clinical detail, competitive decomposition, and sourcing in the Appendix that follows.</w:t>
      </w:r>
    </w:p>
    <w:p>
      <w:pPr>
        <w:spacing w:line="276" w:lineRule="auto"/>
      </w:pPr>
      <w:r>
        <w:br w:type="page"/>
      </w:r>
    </w:p>
    <w:p>
      <w:pPr>
        <w:spacing w:line="276" w:lineRule="auto"/>
      </w:pPr>
      <w:r>
        <w:rPr>
          <w:rFonts w:ascii="Calibri" w:hAnsi="Calibri"/>
          <w:b/>
          <w:sz w:val="22"/>
        </w:rPr>
        <w:t>APPENDIX</w:t>
      </w:r>
    </w:p>
    <w:p>
      <w:pPr>
        <w:spacing w:line="276" w:lineRule="auto"/>
      </w:pPr>
      <w:r>
        <w:rPr>
          <w:rFonts w:ascii="Calibri" w:hAnsi="Calibri"/>
          <w:b/>
          <w:sz w:val="44"/>
        </w:rPr>
        <w:t>Full Investment Thesis</w:t>
      </w:r>
    </w:p>
    <w:p>
      <w:pPr>
        <w:spacing w:before="240" w:after="80" w:line="276" w:lineRule="auto"/>
      </w:pPr>
      <w:r>
        <w:rPr>
          <w:rFonts w:ascii="Calibri" w:hAnsi="Calibri"/>
          <w:b/>
          <w:sz w:val="36"/>
        </w:rPr>
        <w:t>A.1  Why Now — The Window Is Closing (And The Dislocation Is Already Closing Too)</w:t>
      </w:r>
    </w:p>
    <w:p>
      <w:pPr>
        <w:spacing w:line="276" w:lineRule="auto"/>
        <w:jc w:val="both"/>
      </w:pPr>
      <w:r>
        <w:rPr>
          <w:rFonts w:ascii="Calibri" w:hAnsi="Calibri"/>
          <w:b w:val="0"/>
          <w:i w:val="0"/>
          <w:sz w:val="22"/>
        </w:rPr>
        <w:t>The PDUFA target action date is 30 June 2026 — 77 calendar days from today (14 April 2026). That is roughly 55 trading sessions. The thesis-actionable window is narrower because the dislocation is already beginning to heal. From the 6 April intraday low of approximately $13.90, the stock has recovered to $15.38 on 9 April on declining volume (2.72M vs 14.52M on dump day) — a textbook post-capitulation recovery pattern rather than dead-cat bounce with continued distribution.</w:t>
      </w:r>
    </w:p>
    <w:p>
      <w:pPr>
        <w:spacing w:line="276" w:lineRule="auto"/>
        <w:jc w:val="both"/>
      </w:pPr>
      <w:r>
        <w:rPr>
          <w:rFonts w:ascii="Calibri" w:hAnsi="Calibri"/>
          <w:b w:val="0"/>
          <w:i w:val="0"/>
          <w:sz w:val="22"/>
        </w:rPr>
        <w:t>Three decay drivers are relevant.</w:t>
      </w:r>
    </w:p>
    <w:p>
      <w:pPr>
        <w:spacing w:line="276" w:lineRule="auto"/>
        <w:jc w:val="both"/>
      </w:pPr>
      <w:r>
        <w:rPr>
          <w:rFonts w:ascii="Calibri" w:hAnsi="Calibri"/>
          <w:b w:val="0"/>
          <w:i w:val="0"/>
          <w:sz w:val="22"/>
        </w:rPr>
        <w:t>First, the sell-side PT cut cycle appears largely complete. Wells Fargo to $20, HC Wainwright to $22, Wedbush $44→$37, Goldman $41→$36, RBC $42→$30, Evercore $45→$32, Truist $40→$36 — all clustered in a single window of late March / early April. The downward revisions have finished absorbing the REVEAL-1 disappointment and the Amgen SC Tepezza data; any additional cuts from here would need a new negative catalyst.</w:t>
      </w:r>
    </w:p>
    <w:p>
      <w:pPr>
        <w:spacing w:line="276" w:lineRule="auto"/>
        <w:jc w:val="both"/>
      </w:pPr>
      <w:r>
        <w:rPr>
          <w:rFonts w:ascii="Calibri" w:hAnsi="Calibri"/>
          <w:b w:val="0"/>
          <w:i w:val="0"/>
          <w:sz w:val="22"/>
        </w:rPr>
        <w:t>Second, supply dynamics. Put-option flow reported elevated on 6 April 2026 suggests institutional hedging into the PDUFA, not directional selling. The recovery from $13.90 on light volume suggests the panic-seller cohort has been cleared. From here, incremental price action is driven by net new catalyst flow, not residual capitulation.</w:t>
      </w:r>
    </w:p>
    <w:p>
      <w:pPr>
        <w:spacing w:line="276" w:lineRule="auto"/>
        <w:jc w:val="both"/>
      </w:pPr>
      <w:r>
        <w:rPr>
          <w:rFonts w:ascii="Calibri" w:hAnsi="Calibri"/>
          <w:b w:val="0"/>
          <w:i w:val="0"/>
          <w:sz w:val="22"/>
        </w:rPr>
        <w:t>Third, competitive narrative. The next major read-through is Amgen's actual sBLA filing timeline for SC Tepezza and the commercial launch details of sibeprenlimab-like franchise economics in a comparable specialty market. Neither is likely to appear before T-30. That means the next 30 days are narrative-quiet territory — the cleanest time to accumulate.</w:t>
      </w:r>
    </w:p>
    <w:p>
      <w:pPr>
        <w:spacing w:line="276" w:lineRule="auto"/>
        <w:jc w:val="both"/>
      </w:pPr>
      <w:r>
        <w:rPr>
          <w:rFonts w:ascii="Calibri" w:hAnsi="Calibri"/>
          <w:b/>
          <w:i w:val="0"/>
          <w:sz w:val="22"/>
        </w:rPr>
        <w:t>Practical implications of the timing:</w:t>
      </w:r>
    </w:p>
    <w:p>
      <w:pPr>
        <w:pStyle w:val="ListNumber"/>
        <w:spacing w:line="276" w:lineRule="auto"/>
        <w:jc w:val="both"/>
      </w:pPr>
      <w:r>
        <w:rPr>
          <w:rFonts w:ascii="Calibri" w:hAnsi="Calibri"/>
          <w:sz w:val="22"/>
        </w:rPr>
        <w:t>Entry should be staged 50/25/25 across today / T-30 (c. 31 May) / T-7 (c. 23 June) rather than lump-sum. The wider tails in VRDN's scenario distribution reward patience.</w:t>
      </w:r>
    </w:p>
    <w:p>
      <w:pPr>
        <w:pStyle w:val="ListNumber"/>
        <w:spacing w:line="276" w:lineRule="auto"/>
        <w:jc w:val="both"/>
      </w:pPr>
      <w:r>
        <w:rPr>
          <w:rFonts w:ascii="Calibri" w:hAnsi="Calibri"/>
          <w:sz w:val="22"/>
        </w:rPr>
        <w:t>Kill triggers (A.8) must be checked daily from T-21 (c. 9 June) forward — this is a smaller, less liquid, and more volatile name than VERA, so reaction latency is lower.</w:t>
      </w:r>
    </w:p>
    <w:p>
      <w:pPr>
        <w:pStyle w:val="ListNumber"/>
        <w:spacing w:line="276" w:lineRule="auto"/>
        <w:jc w:val="both"/>
      </w:pPr>
      <w:r>
        <w:rPr>
          <w:rFonts w:ascii="Calibri" w:hAnsi="Calibri"/>
          <w:sz w:val="22"/>
        </w:rPr>
        <w:t>Options overlay — long equity + OTM puts — is particularly relevant for VRDN given the wider bear-case tail. Efficient entry around T-30 to T-14.</w:t>
      </w:r>
    </w:p>
    <w:p>
      <w:pPr>
        <w:pStyle w:val="ListNumber"/>
        <w:spacing w:line="276" w:lineRule="auto"/>
        <w:jc w:val="both"/>
      </w:pPr>
      <w:r>
        <w:rPr>
          <w:rFonts w:ascii="Calibri" w:hAnsi="Calibri"/>
          <w:sz w:val="22"/>
        </w:rPr>
        <w:t>REVEAL-2 (elegrobart chronic) readout is expected 'Q2 2026' — an in-the-window catalyst that can move the franchise read independent of veligrotug. This can force a binary response if it prints before 30 June.</w:t>
      </w:r>
    </w:p>
    <w:p>
      <w:pPr>
        <w:spacing w:before="240" w:after="80" w:line="276" w:lineRule="auto"/>
      </w:pPr>
      <w:r>
        <w:rPr>
          <w:rFonts w:ascii="Calibri" w:hAnsi="Calibri"/>
          <w:b/>
          <w:sz w:val="36"/>
        </w:rPr>
        <w:t>A.2  The Company — A Two-Asset TED Franchise With Capital Adequate Through Launch</w:t>
      </w:r>
    </w:p>
    <w:p>
      <w:pPr>
        <w:spacing w:line="276" w:lineRule="auto"/>
        <w:jc w:val="both"/>
      </w:pPr>
      <w:r>
        <w:rPr>
          <w:rFonts w:ascii="Calibri" w:hAnsi="Calibri"/>
          <w:b w:val="0"/>
          <w:i w:val="0"/>
          <w:sz w:val="22"/>
        </w:rPr>
        <w:t>Viridian Therapeutics (Nasdaq: VRDN) is a clinical-stage biopharmaceutical company headquartered in Waltham, Massachusetts, built around the TED franchise. The two lead assets — veligrotug (VRDN-001, the IV PDUFA asset) and elegrobart (VRDN-003, the SC follow-on) — share the same IGF-1R antibody biology but are formulated for distinct competitive tiers.</w:t>
      </w:r>
    </w:p>
    <w:p>
      <w:pPr>
        <w:spacing w:line="276" w:lineRule="auto"/>
        <w:jc w:val="both"/>
      </w:pPr>
      <w:r>
        <w:rPr>
          <w:rFonts w:ascii="Calibri" w:hAnsi="Calibri"/>
          <w:b w:val="0"/>
          <w:i w:val="0"/>
          <w:sz w:val="22"/>
        </w:rPr>
        <w:t>Pre-revenue. Cash position per the Session 17 research was previously reported at $875M+; post the Q1 2026 burn, approximately $750–850M is a reasonable placeholder until the Q1 earnings release (expected early May 2026). At current burn, that runway is adequate through PDUFA, first full year of commercial launch, and the REVEAL-2 readout. No forced dilution is expected before 30 June.</w:t>
      </w:r>
    </w:p>
    <w:p>
      <w:pPr>
        <w:spacing w:line="276" w:lineRule="auto"/>
        <w:jc w:val="both"/>
      </w:pPr>
      <w:r>
        <w:rPr>
          <w:rFonts w:ascii="Calibri" w:hAnsi="Calibri"/>
          <w:b/>
          <w:i w:val="0"/>
          <w:sz w:val="22"/>
        </w:rPr>
        <w:t>Pipeline and strategic optionality:</w:t>
      </w:r>
    </w:p>
    <w:p>
      <w:pPr>
        <w:pStyle w:val="ListBullet"/>
        <w:spacing w:line="276" w:lineRule="auto"/>
        <w:jc w:val="both"/>
      </w:pPr>
      <w:r>
        <w:rPr>
          <w:rFonts w:ascii="Calibri" w:hAnsi="Calibri"/>
          <w:sz w:val="22"/>
        </w:rPr>
        <w:t>Veligrotug (VRDN-001) — IV anti-IGF-1R. PDUFA 30 June 2026. The base-case commercial asset; the focus of this thesis.</w:t>
      </w:r>
    </w:p>
    <w:p>
      <w:pPr>
        <w:pStyle w:val="ListBullet"/>
        <w:spacing w:line="276" w:lineRule="auto"/>
        <w:jc w:val="both"/>
      </w:pPr>
      <w:r>
        <w:rPr>
          <w:rFonts w:ascii="Calibri" w:hAnsi="Calibri"/>
          <w:sz w:val="22"/>
        </w:rPr>
        <w:t>Elegrobart (VRDN-003) — SC anti-IGF-1R with Q4W/Q8W dosing. REVEAL-1 (active TED) topline March 2026 met primary endpoint but disappointed upside expectations. REVEAL-2 (chronic TED) readout expected Q2 2026 — key franchise inflection.</w:t>
      </w:r>
    </w:p>
    <w:p>
      <w:pPr>
        <w:pStyle w:val="ListBullet"/>
        <w:spacing w:line="276" w:lineRule="auto"/>
        <w:jc w:val="both"/>
      </w:pPr>
      <w:r>
        <w:rPr>
          <w:rFonts w:ascii="Calibri" w:hAnsi="Calibri"/>
          <w:sz w:val="22"/>
        </w:rPr>
        <w:t>EU MAA — submission planned H1 2026. Expanded addressable market at modest incremental development cost.</w:t>
      </w:r>
    </w:p>
    <w:p>
      <w:pPr>
        <w:pStyle w:val="ListBullet"/>
        <w:spacing w:line="276" w:lineRule="auto"/>
        <w:jc w:val="both"/>
      </w:pPr>
      <w:r>
        <w:rPr>
          <w:rFonts w:ascii="Calibri" w:hAnsi="Calibri"/>
          <w:sz w:val="22"/>
        </w:rPr>
        <w:t>Pipeline beyond TED — early-stage work on IGF-1R in related autoimmune indications; not material to sizing.</w:t>
      </w:r>
    </w:p>
    <w:p>
      <w:pPr>
        <w:spacing w:line="276" w:lineRule="auto"/>
        <w:jc w:val="both"/>
      </w:pPr>
      <w:r>
        <w:rPr>
          <w:rFonts w:ascii="Calibri" w:hAnsi="Calibri"/>
          <w:b w:val="0"/>
          <w:i w:val="0"/>
          <w:sz w:val="22"/>
        </w:rPr>
        <w:t>Strategic implication: This is a near-dated IV approval bet with a latent long-dated SC franchise optionality that the tape is currently pricing as negative. The thesis monetizes the near-dated leg; the long-dated leg is ignored in sizing.</w:t>
      </w:r>
    </w:p>
    <w:p>
      <w:pPr>
        <w:spacing w:before="240" w:after="80" w:line="276" w:lineRule="auto"/>
      </w:pPr>
      <w:r>
        <w:rPr>
          <w:rFonts w:ascii="Calibri" w:hAnsi="Calibri"/>
          <w:b/>
          <w:sz w:val="36"/>
        </w:rPr>
        <w:t>A.3  The Catalyst — An Event-Driven Dislocation In An Under-Penetrated Market</w:t>
      </w:r>
    </w:p>
    <w:p>
      <w:pPr>
        <w:spacing w:line="276" w:lineRule="auto"/>
        <w:jc w:val="both"/>
      </w:pPr>
      <w:r>
        <w:rPr>
          <w:rFonts w:ascii="Calibri" w:hAnsi="Calibri"/>
          <w:b w:val="0"/>
          <w:i w:val="0"/>
          <w:sz w:val="22"/>
        </w:rPr>
        <w:t>The catalyst is the 30 June 2026 PDUFA target action date for the veligrotug BLA, accepted for Priority Review on 22 December 2025 on the basis of the THRIVE (active TED) and THRIVE-2 (chronic TED) pivotal Phase 3 programs. Approval would make veligrotug the second FDA-approved biologic for TED (after Tepezza IV) and the first approved in chronic TED.</w:t>
      </w:r>
    </w:p>
    <w:p>
      <w:pPr>
        <w:spacing w:line="276" w:lineRule="auto"/>
        <w:jc w:val="both"/>
      </w:pPr>
      <w:r>
        <w:rPr>
          <w:rFonts w:ascii="Calibri" w:hAnsi="Calibri"/>
          <w:b w:val="0"/>
          <w:i w:val="0"/>
          <w:sz w:val="22"/>
        </w:rPr>
        <w:t>The commercial backdrop. The US TED treatment market in 2024 was ~$1.9B, essentially all Tepezza IV. Global TED market size was ~$2.26B in 2024, forecast to grow to ~$4B by 2034 at ~6% CAGR. With an estimated 1.4M globally diagnosed prevalent TED patients and only roughly 20% of the moderate-to-severe population receiving targeted therapy today, the market is under-penetrated and has room for a second IV biologic even with the SC formulation wave (Amgen SC Tepezza expected in late 2026 via sBLA).</w:t>
      </w:r>
    </w:p>
    <w:p>
      <w:pPr>
        <w:spacing w:line="276" w:lineRule="auto"/>
        <w:jc w:val="both"/>
      </w:pPr>
      <w:r>
        <w:rPr>
          <w:rFonts w:ascii="Calibri" w:hAnsi="Calibri"/>
          <w:b/>
          <w:i w:val="0"/>
          <w:sz w:val="22"/>
        </w:rPr>
        <w:t>Stale-anchor vs actual-epidemiology framing:</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D9D9D9"/>
          </w:tcPr>
          <w:p>
            <w:r/>
            <w:r>
              <w:rPr>
                <w:rFonts w:ascii="Calibri" w:hAnsi="Calibri"/>
                <w:b/>
                <w:sz w:val="20"/>
              </w:rPr>
              <w:t>Anchor</w:t>
            </w:r>
          </w:p>
        </w:tc>
        <w:tc>
          <w:tcPr>
            <w:tcW w:type="dxa" w:w="3312"/>
            <w:shd w:val="clear" w:color="auto" w:fill="D9D9D9"/>
          </w:tcPr>
          <w:p>
            <w:r/>
            <w:r>
              <w:rPr>
                <w:rFonts w:ascii="Calibri" w:hAnsi="Calibri"/>
                <w:b/>
                <w:sz w:val="20"/>
              </w:rPr>
              <w:t>Assumption</w:t>
            </w:r>
          </w:p>
        </w:tc>
        <w:tc>
          <w:tcPr>
            <w:tcW w:type="dxa" w:w="3312"/>
            <w:shd w:val="clear" w:color="auto" w:fill="D9D9D9"/>
          </w:tcPr>
          <w:p>
            <w:r/>
            <w:r>
              <w:rPr>
                <w:rFonts w:ascii="Calibri" w:hAnsi="Calibri"/>
                <w:b/>
                <w:sz w:val="20"/>
              </w:rPr>
              <w:t>Reality (2026)</w:t>
            </w:r>
          </w:p>
        </w:tc>
      </w:tr>
      <w:tr>
        <w:tc>
          <w:tcPr>
            <w:tcW w:type="dxa" w:w="2736"/>
          </w:tcPr>
          <w:p>
            <w:r/>
            <w:r>
              <w:rPr>
                <w:rFonts w:ascii="Calibri" w:hAnsi="Calibri"/>
                <w:sz w:val="20"/>
              </w:rPr>
              <w:t>Tepezza is the category; there's no room for a second IV</w:t>
            </w:r>
          </w:p>
        </w:tc>
        <w:tc>
          <w:tcPr>
            <w:tcW w:type="dxa" w:w="3312"/>
          </w:tcPr>
          <w:p>
            <w:r/>
            <w:r>
              <w:rPr>
                <w:rFonts w:ascii="Calibri" w:hAnsi="Calibri"/>
                <w:sz w:val="20"/>
              </w:rPr>
              <w:t>Established biologic, $1.9B US revenue, dominant physician relationships.</w:t>
            </w:r>
          </w:p>
        </w:tc>
        <w:tc>
          <w:tcPr>
            <w:tcW w:type="dxa" w:w="3312"/>
          </w:tcPr>
          <w:p>
            <w:r/>
            <w:r>
              <w:rPr>
                <w:rFonts w:ascii="Calibri" w:hAnsi="Calibri"/>
                <w:sz w:val="20"/>
              </w:rPr>
              <w:t>20% therapy penetration of moderate-to-severe TED — the category is under-penetrated. Differentiated dosing (5 vs 8) and safety (hearing) open re-treatment and chronic-TED populations Tepezza IV cannot reliably address.</w:t>
            </w:r>
          </w:p>
        </w:tc>
      </w:tr>
      <w:tr>
        <w:tc>
          <w:tcPr>
            <w:tcW w:type="dxa" w:w="2736"/>
          </w:tcPr>
          <w:p>
            <w:r/>
            <w:r>
              <w:rPr>
                <w:rFonts w:ascii="Calibri" w:hAnsi="Calibri"/>
                <w:sz w:val="20"/>
              </w:rPr>
              <w:t>Amgen SC Tepezza's 77% PRR data kills VRDN's franchise</w:t>
            </w:r>
          </w:p>
        </w:tc>
        <w:tc>
          <w:tcPr>
            <w:tcW w:type="dxa" w:w="3312"/>
          </w:tcPr>
          <w:p>
            <w:r/>
            <w:r>
              <w:rPr>
                <w:rFonts w:ascii="Calibri" w:hAnsi="Calibri"/>
                <w:sz w:val="20"/>
              </w:rPr>
              <w:t>The subcutaneous formulation wave is the future of TED.</w:t>
            </w:r>
          </w:p>
        </w:tc>
        <w:tc>
          <w:tcPr>
            <w:tcW w:type="dxa" w:w="3312"/>
          </w:tcPr>
          <w:p>
            <w:r/>
            <w:r>
              <w:rPr>
                <w:rFonts w:ascii="Calibri" w:hAnsi="Calibri"/>
                <w:sz w:val="20"/>
              </w:rPr>
              <w:t>SC Tepezza competes with elegrobart (SC VRDN-003), not veligrotug (IV). The 30 June PDUFA is a pure IV approval event; veligrotug competes against IV Tepezza, where 5-infusion convenience is still differentiated.</w:t>
            </w:r>
          </w:p>
        </w:tc>
      </w:tr>
      <w:tr>
        <w:tc>
          <w:tcPr>
            <w:tcW w:type="dxa" w:w="2736"/>
          </w:tcPr>
          <w:p>
            <w:r/>
            <w:r>
              <w:rPr>
                <w:rFonts w:ascii="Calibri" w:hAnsi="Calibri"/>
                <w:sz w:val="20"/>
              </w:rPr>
              <w:t>Tepezza's pricing power sets the ceiling for veligrotug</w:t>
            </w:r>
          </w:p>
        </w:tc>
        <w:tc>
          <w:tcPr>
            <w:tcW w:type="dxa" w:w="3312"/>
          </w:tcPr>
          <w:p>
            <w:r/>
            <w:r>
              <w:rPr>
                <w:rFonts w:ascii="Calibri" w:hAnsi="Calibri"/>
                <w:sz w:val="20"/>
              </w:rPr>
              <w:t>Any second entrant prices below to take share.</w:t>
            </w:r>
          </w:p>
        </w:tc>
        <w:tc>
          <w:tcPr>
            <w:tcW w:type="dxa" w:w="3312"/>
          </w:tcPr>
          <w:p>
            <w:r/>
            <w:r>
              <w:rPr>
                <w:rFonts w:ascii="Calibri" w:hAnsi="Calibri"/>
                <w:sz w:val="20"/>
              </w:rPr>
              <w:t>Tepezza's $300k+ per-course price is established. Veligrotug can price at parity if the label grants chronic TED approval (which Tepezza IV lacks) — differentiation justifies price, not discount.</w:t>
            </w:r>
          </w:p>
        </w:tc>
      </w:tr>
      <w:tr>
        <w:tc>
          <w:tcPr>
            <w:tcW w:type="dxa" w:w="2736"/>
          </w:tcPr>
          <w:p>
            <w:r/>
            <w:r>
              <w:rPr>
                <w:rFonts w:ascii="Calibri" w:hAnsi="Calibri"/>
                <w:sz w:val="20"/>
              </w:rPr>
              <w:t>Chronic TED is a niche</w:t>
            </w:r>
          </w:p>
        </w:tc>
        <w:tc>
          <w:tcPr>
            <w:tcW w:type="dxa" w:w="3312"/>
          </w:tcPr>
          <w:p>
            <w:r/>
            <w:r>
              <w:rPr>
                <w:rFonts w:ascii="Calibri" w:hAnsi="Calibri"/>
                <w:sz w:val="20"/>
              </w:rPr>
              <w:t>Active TED is where the money is.</w:t>
            </w:r>
          </w:p>
        </w:tc>
        <w:tc>
          <w:tcPr>
            <w:tcW w:type="dxa" w:w="3312"/>
          </w:tcPr>
          <w:p>
            <w:r/>
            <w:r>
              <w:rPr>
                <w:rFonts w:ascii="Calibri" w:hAnsi="Calibri"/>
                <w:sz w:val="20"/>
              </w:rPr>
              <w:t>Chronic TED represents a larger prevalent pool than active TED because it accumulates. THRIVE-2 positive result gives veligrotug a label Tepezza IV cannot match.</w:t>
            </w:r>
          </w:p>
        </w:tc>
      </w:tr>
    </w:tbl>
    <w:p>
      <w:pPr>
        <w:spacing w:before="240" w:after="80" w:line="276" w:lineRule="auto"/>
      </w:pPr>
      <w:r>
        <w:rPr>
          <w:rFonts w:ascii="Calibri" w:hAnsi="Calibri"/>
          <w:b/>
          <w:sz w:val="36"/>
        </w:rPr>
        <w:t>A.4  The Clinical Case — Reading THRIVE and THRIVE-2 Precisely</w:t>
      </w:r>
    </w:p>
    <w:p>
      <w:pPr>
        <w:spacing w:line="276" w:lineRule="auto"/>
        <w:jc w:val="both"/>
      </w:pPr>
      <w:r>
        <w:rPr>
          <w:rFonts w:ascii="Calibri" w:hAnsi="Calibri"/>
          <w:b w:val="0"/>
          <w:i w:val="0"/>
          <w:sz w:val="22"/>
        </w:rPr>
        <w:t>Veligrotug's pivotal program comprises two Phase 3 trials: THRIVE (active TED, N~113 randomized) and THRIVE-2 (chronic TED, N~188 randomized). Both met primary and all secondary endpoints. Both support the BLA.</w:t>
      </w:r>
    </w:p>
    <w:tbl>
      <w:tblPr>
        <w:tblStyle w:val="TableGrid"/>
        <w:tblW w:type="auto" w:w="0"/>
        <w:tblLook w:firstColumn="1" w:firstRow="1" w:lastColumn="0" w:lastRow="0" w:noHBand="0" w:noVBand="1" w:val="04A0"/>
      </w:tblPr>
      <w:tblGrid>
        <w:gridCol w:w="2340"/>
        <w:gridCol w:w="2340"/>
        <w:gridCol w:w="2340"/>
        <w:gridCol w:w="2340"/>
      </w:tblGrid>
      <w:tr>
        <w:tc>
          <w:tcPr>
            <w:tcW w:type="dxa" w:w="3456"/>
            <w:shd w:val="clear" w:color="auto" w:fill="D9D9D9"/>
          </w:tcPr>
          <w:p>
            <w:r/>
            <w:r>
              <w:rPr>
                <w:rFonts w:ascii="Calibri" w:hAnsi="Calibri"/>
                <w:b/>
                <w:sz w:val="20"/>
              </w:rPr>
              <w:t>Endpoint</w:t>
            </w:r>
          </w:p>
        </w:tc>
        <w:tc>
          <w:tcPr>
            <w:tcW w:type="dxa" w:w="1728"/>
            <w:shd w:val="clear" w:color="auto" w:fill="D9D9D9"/>
          </w:tcPr>
          <w:p>
            <w:r/>
            <w:r>
              <w:rPr>
                <w:rFonts w:ascii="Calibri" w:hAnsi="Calibri"/>
                <w:b/>
                <w:sz w:val="20"/>
              </w:rPr>
              <w:t>Veligrotug</w:t>
            </w:r>
          </w:p>
        </w:tc>
        <w:tc>
          <w:tcPr>
            <w:tcW w:type="dxa" w:w="1728"/>
            <w:shd w:val="clear" w:color="auto" w:fill="D9D9D9"/>
          </w:tcPr>
          <w:p>
            <w:r/>
            <w:r>
              <w:rPr>
                <w:rFonts w:ascii="Calibri" w:hAnsi="Calibri"/>
                <w:b/>
                <w:sz w:val="20"/>
              </w:rPr>
              <w:t>Placebo</w:t>
            </w:r>
          </w:p>
        </w:tc>
        <w:tc>
          <w:tcPr>
            <w:tcW w:type="dxa" w:w="2592"/>
            <w:shd w:val="clear" w:color="auto" w:fill="D9D9D9"/>
          </w:tcPr>
          <w:p>
            <w:r/>
            <w:r>
              <w:rPr>
                <w:rFonts w:ascii="Calibri" w:hAnsi="Calibri"/>
                <w:b/>
                <w:sz w:val="20"/>
              </w:rPr>
              <w:t>Placebo-adjusted / interpretation</w:t>
            </w:r>
          </w:p>
        </w:tc>
      </w:tr>
      <w:tr>
        <w:tc>
          <w:tcPr>
            <w:tcW w:type="dxa" w:w="3456"/>
          </w:tcPr>
          <w:p>
            <w:r/>
            <w:r>
              <w:rPr>
                <w:rFonts w:ascii="Calibri" w:hAnsi="Calibri"/>
                <w:sz w:val="20"/>
              </w:rPr>
              <w:t>THRIVE primary — PRR (≥2mm proptosis reduction)</w:t>
            </w:r>
          </w:p>
        </w:tc>
        <w:tc>
          <w:tcPr>
            <w:tcW w:type="dxa" w:w="1728"/>
          </w:tcPr>
          <w:p>
            <w:r/>
            <w:r>
              <w:rPr>
                <w:rFonts w:ascii="Calibri" w:hAnsi="Calibri"/>
                <w:sz w:val="20"/>
              </w:rPr>
              <w:t>70%</w:t>
            </w:r>
          </w:p>
        </w:tc>
        <w:tc>
          <w:tcPr>
            <w:tcW w:type="dxa" w:w="1728"/>
          </w:tcPr>
          <w:p>
            <w:r/>
            <w:r>
              <w:rPr>
                <w:rFonts w:ascii="Calibri" w:hAnsi="Calibri"/>
                <w:sz w:val="20"/>
              </w:rPr>
              <w:t>5%</w:t>
            </w:r>
          </w:p>
        </w:tc>
        <w:tc>
          <w:tcPr>
            <w:tcW w:type="dxa" w:w="2592"/>
          </w:tcPr>
          <w:p>
            <w:r/>
            <w:r>
              <w:rPr>
                <w:rFonts w:ascii="Calibri" w:hAnsi="Calibri"/>
                <w:sz w:val="20"/>
              </w:rPr>
              <w:t>64% placebo-adjusted, p&lt;0.0001</w:t>
            </w:r>
          </w:p>
        </w:tc>
      </w:tr>
      <w:tr>
        <w:tc>
          <w:tcPr>
            <w:tcW w:type="dxa" w:w="3456"/>
          </w:tcPr>
          <w:p>
            <w:r/>
            <w:r>
              <w:rPr>
                <w:rFonts w:ascii="Calibri" w:hAnsi="Calibri"/>
                <w:sz w:val="20"/>
              </w:rPr>
              <w:t>THRIVE mean proptosis reduction</w:t>
            </w:r>
          </w:p>
        </w:tc>
        <w:tc>
          <w:tcPr>
            <w:tcW w:type="dxa" w:w="1728"/>
          </w:tcPr>
          <w:p>
            <w:r/>
            <w:r>
              <w:rPr>
                <w:rFonts w:ascii="Calibri" w:hAnsi="Calibri"/>
                <w:sz w:val="20"/>
              </w:rPr>
              <w:t>2.9mm</w:t>
            </w:r>
          </w:p>
        </w:tc>
        <w:tc>
          <w:tcPr>
            <w:tcW w:type="dxa" w:w="1728"/>
          </w:tcPr>
          <w:p>
            <w:r/>
            <w:r>
              <w:rPr>
                <w:rFonts w:ascii="Calibri" w:hAnsi="Calibri"/>
                <w:sz w:val="20"/>
              </w:rPr>
              <w:t>0.5mm</w:t>
            </w:r>
          </w:p>
        </w:tc>
        <w:tc>
          <w:tcPr>
            <w:tcW w:type="dxa" w:w="2592"/>
          </w:tcPr>
          <w:p>
            <w:r/>
            <w:r>
              <w:rPr>
                <w:rFonts w:ascii="Calibri" w:hAnsi="Calibri"/>
                <w:sz w:val="20"/>
              </w:rPr>
              <w:t>Clinically meaningful; comparable to Tepezza IV range</w:t>
            </w:r>
          </w:p>
        </w:tc>
      </w:tr>
      <w:tr>
        <w:tc>
          <w:tcPr>
            <w:tcW w:type="dxa" w:w="3456"/>
          </w:tcPr>
          <w:p>
            <w:r/>
            <w:r>
              <w:rPr>
                <w:rFonts w:ascii="Calibri" w:hAnsi="Calibri"/>
                <w:sz w:val="20"/>
              </w:rPr>
              <w:t>THRIVE early-responder (1 infusion, week 3)</w:t>
            </w:r>
          </w:p>
        </w:tc>
        <w:tc>
          <w:tcPr>
            <w:tcW w:type="dxa" w:w="1728"/>
          </w:tcPr>
          <w:p>
            <w:r/>
            <w:r>
              <w:rPr>
                <w:rFonts w:ascii="Calibri" w:hAnsi="Calibri"/>
                <w:sz w:val="20"/>
              </w:rPr>
              <w:t>53%</w:t>
            </w:r>
          </w:p>
        </w:tc>
        <w:tc>
          <w:tcPr>
            <w:tcW w:type="dxa" w:w="1728"/>
          </w:tcPr>
          <w:p>
            <w:r/>
            <w:r>
              <w:rPr>
                <w:rFonts w:ascii="Calibri" w:hAnsi="Calibri"/>
                <w:sz w:val="20"/>
              </w:rPr>
              <w:t>—</w:t>
            </w:r>
          </w:p>
        </w:tc>
        <w:tc>
          <w:tcPr>
            <w:tcW w:type="dxa" w:w="2592"/>
          </w:tcPr>
          <w:p>
            <w:r/>
            <w:r>
              <w:rPr>
                <w:rFonts w:ascii="Calibri" w:hAnsi="Calibri"/>
                <w:sz w:val="20"/>
              </w:rPr>
              <w:t>Faster onset than Tepezza IV; differentiation in active-flare management</w:t>
            </w:r>
          </w:p>
        </w:tc>
      </w:tr>
      <w:tr>
        <w:tc>
          <w:tcPr>
            <w:tcW w:type="dxa" w:w="3456"/>
          </w:tcPr>
          <w:p>
            <w:r/>
            <w:r>
              <w:rPr>
                <w:rFonts w:ascii="Calibri" w:hAnsi="Calibri"/>
                <w:sz w:val="20"/>
              </w:rPr>
              <w:t>THRIVE diplopia complete resolution</w:t>
            </w:r>
          </w:p>
        </w:tc>
        <w:tc>
          <w:tcPr>
            <w:tcW w:type="dxa" w:w="1728"/>
          </w:tcPr>
          <w:p>
            <w:r/>
            <w:r>
              <w:rPr>
                <w:rFonts w:ascii="Calibri" w:hAnsi="Calibri"/>
                <w:sz w:val="20"/>
              </w:rPr>
              <w:t>54%</w:t>
            </w:r>
          </w:p>
        </w:tc>
        <w:tc>
          <w:tcPr>
            <w:tcW w:type="dxa" w:w="1728"/>
          </w:tcPr>
          <w:p>
            <w:r/>
            <w:r>
              <w:rPr>
                <w:rFonts w:ascii="Calibri" w:hAnsi="Calibri"/>
                <w:sz w:val="20"/>
              </w:rPr>
              <w:t>12%</w:t>
            </w:r>
          </w:p>
        </w:tc>
        <w:tc>
          <w:tcPr>
            <w:tcW w:type="dxa" w:w="2592"/>
          </w:tcPr>
          <w:p>
            <w:r/>
            <w:r>
              <w:rPr>
                <w:rFonts w:ascii="Calibri" w:hAnsi="Calibri"/>
                <w:sz w:val="20"/>
              </w:rPr>
              <w:t>42% placebo-adjusted — strong functional outcome</w:t>
            </w:r>
          </w:p>
        </w:tc>
      </w:tr>
      <w:tr>
        <w:tc>
          <w:tcPr>
            <w:tcW w:type="dxa" w:w="3456"/>
          </w:tcPr>
          <w:p>
            <w:r/>
            <w:r>
              <w:rPr>
                <w:rFonts w:ascii="Calibri" w:hAnsi="Calibri"/>
                <w:sz w:val="20"/>
              </w:rPr>
              <w:t>THRIVE hearing impairment (treatment-emergent)</w:t>
            </w:r>
          </w:p>
        </w:tc>
        <w:tc>
          <w:tcPr>
            <w:tcW w:type="dxa" w:w="1728"/>
          </w:tcPr>
          <w:p>
            <w:r/>
            <w:r>
              <w:rPr>
                <w:rFonts w:ascii="Calibri" w:hAnsi="Calibri"/>
                <w:sz w:val="20"/>
              </w:rPr>
              <w:t>16%</w:t>
            </w:r>
          </w:p>
        </w:tc>
        <w:tc>
          <w:tcPr>
            <w:tcW w:type="dxa" w:w="1728"/>
          </w:tcPr>
          <w:p>
            <w:r/>
            <w:r>
              <w:rPr>
                <w:rFonts w:ascii="Calibri" w:hAnsi="Calibri"/>
                <w:sz w:val="20"/>
              </w:rPr>
              <w:t>10.5%</w:t>
            </w:r>
          </w:p>
        </w:tc>
        <w:tc>
          <w:tcPr>
            <w:tcW w:type="dxa" w:w="2592"/>
          </w:tcPr>
          <w:p>
            <w:r/>
            <w:r>
              <w:rPr>
                <w:rFonts w:ascii="Calibri" w:hAnsi="Calibri"/>
                <w:sz w:val="20"/>
              </w:rPr>
              <w:t>5.5% placebo-adjusted — materially better than Tepezza IV ~10%</w:t>
            </w:r>
          </w:p>
        </w:tc>
      </w:tr>
      <w:tr>
        <w:tc>
          <w:tcPr>
            <w:tcW w:type="dxa" w:w="3456"/>
          </w:tcPr>
          <w:p>
            <w:r/>
            <w:r>
              <w:rPr>
                <w:rFonts w:ascii="Calibri" w:hAnsi="Calibri"/>
                <w:sz w:val="20"/>
              </w:rPr>
              <w:t>THRIVE-2 primary — PRR (≥2mm)</w:t>
            </w:r>
          </w:p>
        </w:tc>
        <w:tc>
          <w:tcPr>
            <w:tcW w:type="dxa" w:w="1728"/>
          </w:tcPr>
          <w:p>
            <w:r/>
            <w:r>
              <w:rPr>
                <w:rFonts w:ascii="Calibri" w:hAnsi="Calibri"/>
                <w:sz w:val="20"/>
              </w:rPr>
              <w:t>56%</w:t>
            </w:r>
          </w:p>
        </w:tc>
        <w:tc>
          <w:tcPr>
            <w:tcW w:type="dxa" w:w="1728"/>
          </w:tcPr>
          <w:p>
            <w:r/>
            <w:r>
              <w:rPr>
                <w:rFonts w:ascii="Calibri" w:hAnsi="Calibri"/>
                <w:sz w:val="20"/>
              </w:rPr>
              <w:t>8%</w:t>
            </w:r>
          </w:p>
        </w:tc>
        <w:tc>
          <w:tcPr>
            <w:tcW w:type="dxa" w:w="2592"/>
          </w:tcPr>
          <w:p>
            <w:r/>
            <w:r>
              <w:rPr>
                <w:rFonts w:ascii="Calibri" w:hAnsi="Calibri"/>
                <w:sz w:val="20"/>
              </w:rPr>
              <w:t>48% placebo-adjusted, p&lt;0.0001 — first-ever pivotal positive in chronic TED</w:t>
            </w:r>
          </w:p>
        </w:tc>
      </w:tr>
      <w:tr>
        <w:tc>
          <w:tcPr>
            <w:tcW w:type="dxa" w:w="3456"/>
          </w:tcPr>
          <w:p>
            <w:r/>
            <w:r>
              <w:rPr>
                <w:rFonts w:ascii="Calibri" w:hAnsi="Calibri"/>
                <w:sz w:val="20"/>
              </w:rPr>
              <w:t>THRIVE-2 mean proptosis reduction</w:t>
            </w:r>
          </w:p>
        </w:tc>
        <w:tc>
          <w:tcPr>
            <w:tcW w:type="dxa" w:w="1728"/>
          </w:tcPr>
          <w:p>
            <w:r/>
            <w:r>
              <w:rPr>
                <w:rFonts w:ascii="Calibri" w:hAnsi="Calibri"/>
                <w:sz w:val="20"/>
              </w:rPr>
              <w:t>2.34mm</w:t>
            </w:r>
          </w:p>
        </w:tc>
        <w:tc>
          <w:tcPr>
            <w:tcW w:type="dxa" w:w="1728"/>
          </w:tcPr>
          <w:p>
            <w:r/>
            <w:r>
              <w:rPr>
                <w:rFonts w:ascii="Calibri" w:hAnsi="Calibri"/>
                <w:sz w:val="20"/>
              </w:rPr>
              <w:t>0.46mm</w:t>
            </w:r>
          </w:p>
        </w:tc>
        <w:tc>
          <w:tcPr>
            <w:tcW w:type="dxa" w:w="2592"/>
          </w:tcPr>
          <w:p>
            <w:r/>
            <w:r>
              <w:rPr>
                <w:rFonts w:ascii="Calibri" w:hAnsi="Calibri"/>
                <w:sz w:val="20"/>
              </w:rPr>
              <w:t>Clinically meaningful in chronic population</w:t>
            </w:r>
          </w:p>
        </w:tc>
      </w:tr>
      <w:tr>
        <w:tc>
          <w:tcPr>
            <w:tcW w:type="dxa" w:w="3456"/>
          </w:tcPr>
          <w:p>
            <w:r/>
            <w:r>
              <w:rPr>
                <w:rFonts w:ascii="Calibri" w:hAnsi="Calibri"/>
                <w:sz w:val="20"/>
              </w:rPr>
              <w:t>THRIVE-2 hearing impairment</w:t>
            </w:r>
          </w:p>
        </w:tc>
        <w:tc>
          <w:tcPr>
            <w:tcW w:type="dxa" w:w="1728"/>
          </w:tcPr>
          <w:p>
            <w:r/>
            <w:r>
              <w:rPr>
                <w:rFonts w:ascii="Calibri" w:hAnsi="Calibri"/>
                <w:sz w:val="20"/>
              </w:rPr>
              <w:t>12.8%</w:t>
            </w:r>
          </w:p>
        </w:tc>
        <w:tc>
          <w:tcPr>
            <w:tcW w:type="dxa" w:w="1728"/>
          </w:tcPr>
          <w:p>
            <w:r/>
            <w:r>
              <w:rPr>
                <w:rFonts w:ascii="Calibri" w:hAnsi="Calibri"/>
                <w:sz w:val="20"/>
              </w:rPr>
              <w:t>3.2%</w:t>
            </w:r>
          </w:p>
        </w:tc>
        <w:tc>
          <w:tcPr>
            <w:tcW w:type="dxa" w:w="2592"/>
          </w:tcPr>
          <w:p>
            <w:r/>
            <w:r>
              <w:rPr>
                <w:rFonts w:ascii="Calibri" w:hAnsi="Calibri"/>
                <w:sz w:val="20"/>
              </w:rPr>
              <w:t>9.6% placebo-adjusted — somewhat worse than THRIVE but still below Tepezza IV historicals</w:t>
            </w:r>
          </w:p>
        </w:tc>
      </w:tr>
      <w:tr>
        <w:tc>
          <w:tcPr>
            <w:tcW w:type="dxa" w:w="3456"/>
          </w:tcPr>
          <w:p>
            <w:r/>
            <w:r>
              <w:rPr>
                <w:rFonts w:ascii="Calibri" w:hAnsi="Calibri"/>
                <w:sz w:val="20"/>
              </w:rPr>
              <w:t>Durability (THRIVE at 52 weeks)</w:t>
            </w:r>
          </w:p>
        </w:tc>
        <w:tc>
          <w:tcPr>
            <w:tcW w:type="dxa" w:w="1728"/>
          </w:tcPr>
          <w:p>
            <w:r/>
            <w:r>
              <w:rPr>
                <w:rFonts w:ascii="Calibri" w:hAnsi="Calibri"/>
                <w:sz w:val="20"/>
              </w:rPr>
              <w:t>70% of responders maintained ≥2mm</w:t>
            </w:r>
          </w:p>
        </w:tc>
        <w:tc>
          <w:tcPr>
            <w:tcW w:type="dxa" w:w="1728"/>
          </w:tcPr>
          <w:p>
            <w:r/>
            <w:r>
              <w:rPr>
                <w:rFonts w:ascii="Calibri" w:hAnsi="Calibri"/>
                <w:sz w:val="20"/>
              </w:rPr>
              <w:t>—</w:t>
            </w:r>
          </w:p>
        </w:tc>
        <w:tc>
          <w:tcPr>
            <w:tcW w:type="dxa" w:w="2592"/>
          </w:tcPr>
          <w:p>
            <w:r/>
            <w:r>
              <w:rPr>
                <w:rFonts w:ascii="Calibri" w:hAnsi="Calibri"/>
                <w:sz w:val="20"/>
              </w:rPr>
              <w:t>Supports chronic-label language and durability argument</w:t>
            </w:r>
          </w:p>
        </w:tc>
      </w:tr>
    </w:tbl>
    <w:p>
      <w:pPr>
        <w:spacing w:line="276" w:lineRule="auto"/>
        <w:jc w:val="both"/>
      </w:pPr>
      <w:r>
        <w:rPr>
          <w:rFonts w:ascii="Calibri" w:hAnsi="Calibri"/>
          <w:b w:val="0"/>
          <w:i w:val="0"/>
          <w:sz w:val="22"/>
        </w:rPr>
        <w:t>Statistical reading. Both trials are statistically robust — p&lt;0.0001 on the primary endpoint in each arm. The placebo-adjusted PRR in THRIVE (64%) is in line with Tepezza IV's registration-era data (60–64% placebo-adjusted in OPTIC and OPTIC-X). The placebo-adjusted PRR in THRIVE-2 (48%) is the first such result in chronic TED and is the single most-differentiating clinical readout supporting approval of a second IV biologic with a broader label than the incumbent.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Statistical reading callout — hearing impairment as the decisive safety differentiator.</w:t>
            </w:r>
          </w:p>
          <w:p>
            <w:pPr>
              <w:jc w:val="both"/>
            </w:pPr>
            <w:r>
              <w:rPr>
                <w:rFonts w:ascii="Calibri" w:hAnsi="Calibri"/>
                <w:sz w:val="22"/>
              </w:rPr>
              <w:t>Hearing loss (sensorineural and/or tinnitus) is the dominant off-target safety concern for IGF-1R antibodies in TED. Tepezza IV's product label carries warnings; real-world estimates of treatment-related hearing impairment have been cited at ~10% placebo-adjusted rates. Veligrotug's THRIVE data came in at 5.5% placebo-adjusted — approximately half the Tepezza signal. THRIVE-2 hearing data (9.6% placebo-adjusted) is higher but still at or below the Tepezza range. FDA is likely to require safety labeling around hearing for both products; the question is whether veligrotug's label reads meaningfully better — and the data supports a differentiated label claim, particularly in the active-TED indication. Hearing-impairment differentiation is the single highest-value label element for KOL prescribing preference in re-treatment and high-risk cohorts.</w:t>
            </w:r>
          </w:p>
        </w:tc>
      </w:tr>
    </w:tbl>
    <w:p>
      <w:pPr>
        <w:spacing w:line="276" w:lineRule="auto"/>
        <w:jc w:val="both"/>
      </w:pPr>
      <w:r>
        <w:rPr>
          <w:rFonts w:ascii="Calibri" w:hAnsi="Calibri"/>
          <w:b w:val="0"/>
          <w:i w:val="0"/>
          <w:sz w:val="22"/>
        </w:rPr>
        <w:t>Regulatory implication. With Priority Review, Breakthrough Therapy Designation, two clean positive Phase 3 programs, a published-data base, and no AdCom convened as of 14 April 2026, approval probability on or before 30 June 2026 is estimated at ~85–90%. The principal tail risk is label breadth — specifically whether chronic-TED indication is granted on the THRIVE-2 single pivotal, or requires a confirmatory program.</w:t>
      </w:r>
    </w:p>
    <w:p>
      <w:pPr>
        <w:spacing w:before="240" w:after="80" w:line="276" w:lineRule="auto"/>
      </w:pPr>
      <w:r>
        <w:rPr>
          <w:rFonts w:ascii="Calibri" w:hAnsi="Calibri"/>
          <w:b/>
          <w:sz w:val="36"/>
        </w:rPr>
        <w:t>A.5  The Commercial Case — Tepezza Economics Applied To A Differentiated Second Mover</w:t>
      </w:r>
    </w:p>
    <w:p>
      <w:pPr>
        <w:spacing w:line="276" w:lineRule="auto"/>
        <w:jc w:val="both"/>
      </w:pPr>
      <w:r>
        <w:rPr>
          <w:rFonts w:ascii="Calibri" w:hAnsi="Calibri"/>
          <w:b w:val="0"/>
          <w:i w:val="0"/>
          <w:sz w:val="22"/>
        </w:rPr>
        <w:t>US TED economics. Tepezza IV generated approximately $1.9B in 2024 US revenue against an estimated 20% treatment penetration of the moderate-to-severe TED population. Course-of-therapy gross price is approximately $350–450k depending on payer channel, with 8 infusions delivered over roughly 24 weeks. Net price after rebates is typically quoted in the $300–350k range per course.</w:t>
      </w:r>
    </w:p>
    <w:p>
      <w:pPr>
        <w:spacing w:line="276" w:lineRule="auto"/>
        <w:jc w:val="both"/>
      </w:pPr>
      <w:r>
        <w:rPr>
          <w:rFonts w:ascii="Calibri" w:hAnsi="Calibri"/>
          <w:b/>
          <w:i w:val="0"/>
          <w:sz w:val="22"/>
        </w:rPr>
        <w:t>Veligrotug commercial positioning:</w:t>
      </w:r>
    </w:p>
    <w:tbl>
      <w:tblPr>
        <w:tblStyle w:val="TableGrid"/>
        <w:tblW w:type="auto" w:w="0"/>
        <w:tblLook w:firstColumn="1" w:firstRow="1" w:lastColumn="0" w:lastRow="0" w:noHBand="0" w:noVBand="1" w:val="04A0"/>
      </w:tblPr>
      <w:tblGrid>
        <w:gridCol w:w="2340"/>
        <w:gridCol w:w="2340"/>
        <w:gridCol w:w="2340"/>
        <w:gridCol w:w="2340"/>
      </w:tblGrid>
      <w:tr>
        <w:tc>
          <w:tcPr>
            <w:tcW w:type="dxa" w:w="2304"/>
            <w:shd w:val="clear" w:color="auto" w:fill="D9D9D9"/>
          </w:tcPr>
          <w:p>
            <w:r/>
            <w:r>
              <w:rPr>
                <w:rFonts w:ascii="Calibri" w:hAnsi="Calibri"/>
                <w:b/>
                <w:sz w:val="20"/>
              </w:rPr>
              <w:t>Attribute</w:t>
            </w:r>
          </w:p>
        </w:tc>
        <w:tc>
          <w:tcPr>
            <w:tcW w:type="dxa" w:w="2592"/>
            <w:shd w:val="clear" w:color="auto" w:fill="D9D9D9"/>
          </w:tcPr>
          <w:p>
            <w:r/>
            <w:r>
              <w:rPr>
                <w:rFonts w:ascii="Calibri" w:hAnsi="Calibri"/>
                <w:b/>
                <w:sz w:val="20"/>
              </w:rPr>
              <w:t>Veligrotug (VRDN-001)</w:t>
            </w:r>
          </w:p>
        </w:tc>
        <w:tc>
          <w:tcPr>
            <w:tcW w:type="dxa" w:w="2160"/>
            <w:shd w:val="clear" w:color="auto" w:fill="D9D9D9"/>
          </w:tcPr>
          <w:p>
            <w:r/>
            <w:r>
              <w:rPr>
                <w:rFonts w:ascii="Calibri" w:hAnsi="Calibri"/>
                <w:b/>
                <w:sz w:val="20"/>
              </w:rPr>
              <w:t>Tepezza IV (incumbent)</w:t>
            </w:r>
          </w:p>
        </w:tc>
        <w:tc>
          <w:tcPr>
            <w:tcW w:type="dxa" w:w="2880"/>
            <w:shd w:val="clear" w:color="auto" w:fill="D9D9D9"/>
          </w:tcPr>
          <w:p>
            <w:r/>
            <w:r>
              <w:rPr>
                <w:rFonts w:ascii="Calibri" w:hAnsi="Calibri"/>
                <w:b/>
                <w:sz w:val="20"/>
              </w:rPr>
              <w:t>Commercial implication</w:t>
            </w:r>
          </w:p>
        </w:tc>
      </w:tr>
      <w:tr>
        <w:tc>
          <w:tcPr>
            <w:tcW w:type="dxa" w:w="2304"/>
          </w:tcPr>
          <w:p>
            <w:r/>
            <w:r>
              <w:rPr>
                <w:rFonts w:ascii="Calibri" w:hAnsi="Calibri"/>
                <w:sz w:val="20"/>
              </w:rPr>
              <w:t>Dosing regimen</w:t>
            </w:r>
          </w:p>
        </w:tc>
        <w:tc>
          <w:tcPr>
            <w:tcW w:type="dxa" w:w="2592"/>
          </w:tcPr>
          <w:p>
            <w:r/>
            <w:r>
              <w:rPr>
                <w:rFonts w:ascii="Calibri" w:hAnsi="Calibri"/>
                <w:sz w:val="20"/>
              </w:rPr>
              <w:t>5 infusions over 12 weeks</w:t>
            </w:r>
          </w:p>
        </w:tc>
        <w:tc>
          <w:tcPr>
            <w:tcW w:type="dxa" w:w="2160"/>
          </w:tcPr>
          <w:p>
            <w:r/>
            <w:r>
              <w:rPr>
                <w:rFonts w:ascii="Calibri" w:hAnsi="Calibri"/>
                <w:sz w:val="20"/>
              </w:rPr>
              <w:t>8 infusions over 24 weeks</w:t>
            </w:r>
          </w:p>
        </w:tc>
        <w:tc>
          <w:tcPr>
            <w:tcW w:type="dxa" w:w="2880"/>
          </w:tcPr>
          <w:p>
            <w:r/>
            <w:r>
              <w:rPr>
                <w:rFonts w:ascii="Calibri" w:hAnsi="Calibri"/>
                <w:sz w:val="20"/>
              </w:rPr>
              <w:t>~40% fewer infusion-center visits; better for patient compliance and site-of-care economics</w:t>
            </w:r>
          </w:p>
        </w:tc>
      </w:tr>
      <w:tr>
        <w:tc>
          <w:tcPr>
            <w:tcW w:type="dxa" w:w="2304"/>
          </w:tcPr>
          <w:p>
            <w:r/>
            <w:r>
              <w:rPr>
                <w:rFonts w:ascii="Calibri" w:hAnsi="Calibri"/>
                <w:sz w:val="20"/>
              </w:rPr>
              <w:t>Label indications (expected)</w:t>
            </w:r>
          </w:p>
        </w:tc>
        <w:tc>
          <w:tcPr>
            <w:tcW w:type="dxa" w:w="2592"/>
          </w:tcPr>
          <w:p>
            <w:r/>
            <w:r>
              <w:rPr>
                <w:rFonts w:ascii="Calibri" w:hAnsi="Calibri"/>
                <w:sz w:val="20"/>
              </w:rPr>
              <w:t>Active + chronic TED</w:t>
            </w:r>
          </w:p>
        </w:tc>
        <w:tc>
          <w:tcPr>
            <w:tcW w:type="dxa" w:w="2160"/>
          </w:tcPr>
          <w:p>
            <w:r/>
            <w:r>
              <w:rPr>
                <w:rFonts w:ascii="Calibri" w:hAnsi="Calibri"/>
                <w:sz w:val="20"/>
              </w:rPr>
              <w:t>Active TED only</w:t>
            </w:r>
          </w:p>
        </w:tc>
        <w:tc>
          <w:tcPr>
            <w:tcW w:type="dxa" w:w="2880"/>
          </w:tcPr>
          <w:p>
            <w:r/>
            <w:r>
              <w:rPr>
                <w:rFonts w:ascii="Calibri" w:hAnsi="Calibri"/>
                <w:sz w:val="20"/>
              </w:rPr>
              <w:t>Opens re-treatment market and chronic population Tepezza cannot serve</w:t>
            </w:r>
          </w:p>
        </w:tc>
      </w:tr>
      <w:tr>
        <w:tc>
          <w:tcPr>
            <w:tcW w:type="dxa" w:w="2304"/>
          </w:tcPr>
          <w:p>
            <w:r/>
            <w:r>
              <w:rPr>
                <w:rFonts w:ascii="Calibri" w:hAnsi="Calibri"/>
                <w:sz w:val="20"/>
              </w:rPr>
              <w:t>Hearing safety (placebo-adj)</w:t>
            </w:r>
          </w:p>
        </w:tc>
        <w:tc>
          <w:tcPr>
            <w:tcW w:type="dxa" w:w="2592"/>
          </w:tcPr>
          <w:p>
            <w:r/>
            <w:r>
              <w:rPr>
                <w:rFonts w:ascii="Calibri" w:hAnsi="Calibri"/>
                <w:sz w:val="20"/>
              </w:rPr>
              <w:t>~5.5% (active); ~9.6% (chronic)</w:t>
            </w:r>
          </w:p>
        </w:tc>
        <w:tc>
          <w:tcPr>
            <w:tcW w:type="dxa" w:w="2160"/>
          </w:tcPr>
          <w:p>
            <w:r/>
            <w:r>
              <w:rPr>
                <w:rFonts w:ascii="Calibri" w:hAnsi="Calibri"/>
                <w:sz w:val="20"/>
              </w:rPr>
              <w:t>~10% (active)</w:t>
            </w:r>
          </w:p>
        </w:tc>
        <w:tc>
          <w:tcPr>
            <w:tcW w:type="dxa" w:w="2880"/>
          </w:tcPr>
          <w:p>
            <w:r/>
            <w:r>
              <w:rPr>
                <w:rFonts w:ascii="Calibri" w:hAnsi="Calibri"/>
                <w:sz w:val="20"/>
              </w:rPr>
              <w:t>Differentiated label claim; KOL prescribing preference in re-treatment</w:t>
            </w:r>
          </w:p>
        </w:tc>
      </w:tr>
      <w:tr>
        <w:tc>
          <w:tcPr>
            <w:tcW w:type="dxa" w:w="2304"/>
          </w:tcPr>
          <w:p>
            <w:r/>
            <w:r>
              <w:rPr>
                <w:rFonts w:ascii="Calibri" w:hAnsi="Calibri"/>
                <w:sz w:val="20"/>
              </w:rPr>
              <w:t>Early-responder rate (1 infusion)</w:t>
            </w:r>
          </w:p>
        </w:tc>
        <w:tc>
          <w:tcPr>
            <w:tcW w:type="dxa" w:w="2592"/>
          </w:tcPr>
          <w:p>
            <w:r/>
            <w:r>
              <w:rPr>
                <w:rFonts w:ascii="Calibri" w:hAnsi="Calibri"/>
                <w:sz w:val="20"/>
              </w:rPr>
              <w:t>53% at week 3</w:t>
            </w:r>
          </w:p>
        </w:tc>
        <w:tc>
          <w:tcPr>
            <w:tcW w:type="dxa" w:w="2160"/>
          </w:tcPr>
          <w:p>
            <w:r/>
            <w:r>
              <w:rPr>
                <w:rFonts w:ascii="Calibri" w:hAnsi="Calibri"/>
                <w:sz w:val="20"/>
              </w:rPr>
              <w:t>Not directly benchmarked in OPTIC</w:t>
            </w:r>
          </w:p>
        </w:tc>
        <w:tc>
          <w:tcPr>
            <w:tcW w:type="dxa" w:w="2880"/>
          </w:tcPr>
          <w:p>
            <w:r/>
            <w:r>
              <w:rPr>
                <w:rFonts w:ascii="Calibri" w:hAnsi="Calibri"/>
                <w:sz w:val="20"/>
              </w:rPr>
              <w:t>Rapid-onset positioning for severe active-flare presentation</w:t>
            </w:r>
          </w:p>
        </w:tc>
      </w:tr>
      <w:tr>
        <w:tc>
          <w:tcPr>
            <w:tcW w:type="dxa" w:w="2304"/>
          </w:tcPr>
          <w:p>
            <w:r/>
            <w:r>
              <w:rPr>
                <w:rFonts w:ascii="Calibri" w:hAnsi="Calibri"/>
                <w:sz w:val="20"/>
              </w:rPr>
              <w:t>Mechanism</w:t>
            </w:r>
          </w:p>
        </w:tc>
        <w:tc>
          <w:tcPr>
            <w:tcW w:type="dxa" w:w="2592"/>
          </w:tcPr>
          <w:p>
            <w:r/>
            <w:r>
              <w:rPr>
                <w:rFonts w:ascii="Calibri" w:hAnsi="Calibri"/>
                <w:sz w:val="20"/>
              </w:rPr>
              <w:t>Full IGF-1R antagonist</w:t>
            </w:r>
          </w:p>
        </w:tc>
        <w:tc>
          <w:tcPr>
            <w:tcW w:type="dxa" w:w="2160"/>
          </w:tcPr>
          <w:p>
            <w:r/>
            <w:r>
              <w:rPr>
                <w:rFonts w:ascii="Calibri" w:hAnsi="Calibri"/>
                <w:sz w:val="20"/>
              </w:rPr>
              <w:t>Partial antagonist</w:t>
            </w:r>
          </w:p>
        </w:tc>
        <w:tc>
          <w:tcPr>
            <w:tcW w:type="dxa" w:w="2880"/>
          </w:tcPr>
          <w:p>
            <w:r/>
            <w:r>
              <w:rPr>
                <w:rFonts w:ascii="Calibri" w:hAnsi="Calibri"/>
                <w:sz w:val="20"/>
              </w:rPr>
              <w:t>May explain better chronic response in THRIVE-2</w:t>
            </w:r>
          </w:p>
        </w:tc>
      </w:tr>
      <w:tr>
        <w:tc>
          <w:tcPr>
            <w:tcW w:type="dxa" w:w="2304"/>
          </w:tcPr>
          <w:p>
            <w:r/>
            <w:r>
              <w:rPr>
                <w:rFonts w:ascii="Calibri" w:hAnsi="Calibri"/>
                <w:sz w:val="20"/>
              </w:rPr>
              <w:t>Durability at 52 weeks</w:t>
            </w:r>
          </w:p>
        </w:tc>
        <w:tc>
          <w:tcPr>
            <w:tcW w:type="dxa" w:w="2592"/>
          </w:tcPr>
          <w:p>
            <w:r/>
            <w:r>
              <w:rPr>
                <w:rFonts w:ascii="Calibri" w:hAnsi="Calibri"/>
                <w:sz w:val="20"/>
              </w:rPr>
              <w:t>70% of responders maintained</w:t>
            </w:r>
          </w:p>
        </w:tc>
        <w:tc>
          <w:tcPr>
            <w:tcW w:type="dxa" w:w="2160"/>
          </w:tcPr>
          <w:p>
            <w:r/>
            <w:r>
              <w:rPr>
                <w:rFonts w:ascii="Calibri" w:hAnsi="Calibri"/>
                <w:sz w:val="20"/>
              </w:rPr>
              <w:t>OPTIC ext data variable</w:t>
            </w:r>
          </w:p>
        </w:tc>
        <w:tc>
          <w:tcPr>
            <w:tcW w:type="dxa" w:w="2880"/>
          </w:tcPr>
          <w:p>
            <w:r/>
            <w:r>
              <w:rPr>
                <w:rFonts w:ascii="Calibri" w:hAnsi="Calibri"/>
                <w:sz w:val="20"/>
              </w:rPr>
              <w:t>Supports annual-or-periodic re-treatment labeling</w:t>
            </w:r>
          </w:p>
        </w:tc>
      </w:tr>
    </w:tbl>
    <w:p>
      <w:pPr>
        <w:spacing w:line="276" w:lineRule="auto"/>
        <w:jc w:val="both"/>
      </w:pPr>
      <w:r>
        <w:rPr>
          <w:rFonts w:ascii="Calibri" w:hAnsi="Calibri"/>
          <w:b/>
          <w:i w:val="0"/>
          <w:sz w:val="22"/>
        </w:rPr>
        <w:t>Pricing corridor:</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D9D9D9"/>
          </w:tcPr>
          <w:p>
            <w:r/>
            <w:r>
              <w:rPr>
                <w:rFonts w:ascii="Calibri" w:hAnsi="Calibri"/>
                <w:b/>
                <w:sz w:val="20"/>
              </w:rPr>
              <w:t>Scenario</w:t>
            </w:r>
          </w:p>
        </w:tc>
        <w:tc>
          <w:tcPr>
            <w:tcW w:type="dxa" w:w="2592"/>
            <w:shd w:val="clear" w:color="auto" w:fill="D9D9D9"/>
          </w:tcPr>
          <w:p>
            <w:r/>
            <w:r>
              <w:rPr>
                <w:rFonts w:ascii="Calibri" w:hAnsi="Calibri"/>
                <w:b/>
                <w:sz w:val="20"/>
              </w:rPr>
              <w:t>Veligrotug course price (net)</w:t>
            </w:r>
          </w:p>
        </w:tc>
        <w:tc>
          <w:tcPr>
            <w:tcW w:type="dxa" w:w="3600"/>
            <w:shd w:val="clear" w:color="auto" w:fill="D9D9D9"/>
          </w:tcPr>
          <w:p>
            <w:r/>
            <w:r>
              <w:rPr>
                <w:rFonts w:ascii="Calibri" w:hAnsi="Calibri"/>
                <w:b/>
                <w:sz w:val="20"/>
              </w:rPr>
              <w:t>Implied peak-share math (at $500M revenue)</w:t>
            </w:r>
          </w:p>
        </w:tc>
      </w:tr>
      <w:tr>
        <w:tc>
          <w:tcPr>
            <w:tcW w:type="dxa" w:w="3312"/>
          </w:tcPr>
          <w:p>
            <w:r/>
            <w:r>
              <w:rPr>
                <w:rFonts w:ascii="Calibri" w:hAnsi="Calibri"/>
                <w:sz w:val="20"/>
              </w:rPr>
              <w:t>Parity with Tepezza IV + differentiation premium</w:t>
            </w:r>
          </w:p>
        </w:tc>
        <w:tc>
          <w:tcPr>
            <w:tcW w:type="dxa" w:w="2592"/>
          </w:tcPr>
          <w:p>
            <w:r/>
            <w:r>
              <w:rPr>
                <w:rFonts w:ascii="Calibri" w:hAnsi="Calibri"/>
                <w:sz w:val="20"/>
              </w:rPr>
              <w:t>$330–360k</w:t>
            </w:r>
          </w:p>
        </w:tc>
        <w:tc>
          <w:tcPr>
            <w:tcW w:type="dxa" w:w="3600"/>
          </w:tcPr>
          <w:p>
            <w:r/>
            <w:r>
              <w:rPr>
                <w:rFonts w:ascii="Calibri" w:hAnsi="Calibri"/>
                <w:sz w:val="20"/>
              </w:rPr>
              <w:t>~10% of moderate-to-severe treated pool</w:t>
            </w:r>
          </w:p>
        </w:tc>
      </w:tr>
      <w:tr>
        <w:tc>
          <w:tcPr>
            <w:tcW w:type="dxa" w:w="3312"/>
          </w:tcPr>
          <w:p>
            <w:r/>
            <w:r>
              <w:rPr>
                <w:rFonts w:ascii="Calibri" w:hAnsi="Calibri"/>
                <w:sz w:val="20"/>
              </w:rPr>
              <w:t>Parity with Tepezza IV</w:t>
            </w:r>
          </w:p>
        </w:tc>
        <w:tc>
          <w:tcPr>
            <w:tcW w:type="dxa" w:w="2592"/>
          </w:tcPr>
          <w:p>
            <w:r/>
            <w:r>
              <w:rPr>
                <w:rFonts w:ascii="Calibri" w:hAnsi="Calibri"/>
                <w:sz w:val="20"/>
              </w:rPr>
              <w:t>$300–330k</w:t>
            </w:r>
          </w:p>
        </w:tc>
        <w:tc>
          <w:tcPr>
            <w:tcW w:type="dxa" w:w="3600"/>
          </w:tcPr>
          <w:p>
            <w:r/>
            <w:r>
              <w:rPr>
                <w:rFonts w:ascii="Calibri" w:hAnsi="Calibri"/>
                <w:sz w:val="20"/>
              </w:rPr>
              <w:t>~11% of treated pool</w:t>
            </w:r>
          </w:p>
        </w:tc>
      </w:tr>
      <w:tr>
        <w:tc>
          <w:tcPr>
            <w:tcW w:type="dxa" w:w="3312"/>
          </w:tcPr>
          <w:p>
            <w:r/>
            <w:r>
              <w:rPr>
                <w:rFonts w:ascii="Calibri" w:hAnsi="Calibri"/>
                <w:sz w:val="20"/>
              </w:rPr>
              <w:t>Modest discount to accelerate uptake</w:t>
            </w:r>
          </w:p>
        </w:tc>
        <w:tc>
          <w:tcPr>
            <w:tcW w:type="dxa" w:w="2592"/>
          </w:tcPr>
          <w:p>
            <w:r/>
            <w:r>
              <w:rPr>
                <w:rFonts w:ascii="Calibri" w:hAnsi="Calibri"/>
                <w:sz w:val="20"/>
              </w:rPr>
              <w:t>$280–300k</w:t>
            </w:r>
          </w:p>
        </w:tc>
        <w:tc>
          <w:tcPr>
            <w:tcW w:type="dxa" w:w="3600"/>
          </w:tcPr>
          <w:p>
            <w:r/>
            <w:r>
              <w:rPr>
                <w:rFonts w:ascii="Calibri" w:hAnsi="Calibri"/>
                <w:sz w:val="20"/>
              </w:rPr>
              <w:t>~12% of treated pool</w:t>
            </w:r>
          </w:p>
        </w:tc>
      </w:tr>
      <w:tr>
        <w:tc>
          <w:tcPr>
            <w:tcW w:type="dxa" w:w="3312"/>
          </w:tcPr>
          <w:p>
            <w:r/>
            <w:r>
              <w:rPr>
                <w:rFonts w:ascii="Calibri" w:hAnsi="Calibri"/>
                <w:sz w:val="20"/>
              </w:rPr>
              <w:t>Bear case (payer pushback, narrow label)</w:t>
            </w:r>
          </w:p>
        </w:tc>
        <w:tc>
          <w:tcPr>
            <w:tcW w:type="dxa" w:w="2592"/>
          </w:tcPr>
          <w:p>
            <w:r/>
            <w:r>
              <w:rPr>
                <w:rFonts w:ascii="Calibri" w:hAnsi="Calibri"/>
                <w:sz w:val="20"/>
              </w:rPr>
              <w:t>$240–270k</w:t>
            </w:r>
          </w:p>
        </w:tc>
        <w:tc>
          <w:tcPr>
            <w:tcW w:type="dxa" w:w="3600"/>
          </w:tcPr>
          <w:p>
            <w:r/>
            <w:r>
              <w:rPr>
                <w:rFonts w:ascii="Calibri" w:hAnsi="Calibri"/>
                <w:sz w:val="20"/>
              </w:rPr>
              <w:t>~14% of treated pool</w:t>
            </w:r>
          </w:p>
        </w:tc>
      </w:tr>
    </w:tbl>
    <w:p>
      <w:pPr>
        <w:spacing w:line="276" w:lineRule="auto"/>
        <w:jc w:val="both"/>
      </w:pPr>
      <w:r>
        <w:rPr>
          <w:rFonts w:ascii="Calibri" w:hAnsi="Calibri"/>
          <w:b w:val="0"/>
          <w:i w:val="0"/>
          <w:sz w:val="22"/>
        </w:rPr>
        <w:t>Operational leverage. Viridian has been building commercial infrastructure ahead of the PDUFA; Q1 2026 earnings commentary (expected early May) will disclose sales-force sizing and payer-engagement progress. A pre-revenue launch of this size (~$500M peak target within 3 years) requires 60–80 FTE specialty rep coverage of the ~500 high-prescribing oculoplastic and endocrinology centers — a tractable investment.</w:t>
      </w:r>
    </w:p>
    <w:p>
      <w:pPr>
        <w:spacing w:line="276" w:lineRule="auto"/>
        <w:jc w:val="both"/>
      </w:pPr>
      <w:r>
        <w:rPr>
          <w:rFonts w:ascii="Calibri" w:hAnsi="Calibri"/>
          <w:b w:val="0"/>
          <w:i w:val="0"/>
          <w:sz w:val="22"/>
        </w:rPr>
        <w:t>The SC-wave overhang. Amgen's subcutaneous Tepezza data (77% PRR at week 24 vs 19.6% placebo, announced 6 April 2026) is strong, but the sBLA timeline puts SC Tepezza approval in late 2026 at the earliest, with broad market penetration likely taking 12–18 months. Veligrotug therefore has an 18–24 month window to establish share in IV-accessible TED patients, chronic TED, and re-treatment cohorts where SC formulation is not the decisive factor. The SC-wave narrative is directionally negative for Viridian's peak franchise value — it is not decisive for the 2026–2027 revenue trajectory on which this thesis is based.</w:t>
      </w:r>
    </w:p>
    <w:p>
      <w:pPr>
        <w:spacing w:before="240" w:after="80" w:line="276" w:lineRule="auto"/>
      </w:pPr>
      <w:r>
        <w:rPr>
          <w:rFonts w:ascii="Calibri" w:hAnsi="Calibri"/>
          <w:b/>
          <w:sz w:val="36"/>
        </w:rPr>
        <w:t>A.6  The Quantitative Frame — 7-Dimension Score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304"/>
            <w:shd w:val="clear" w:color="auto" w:fill="D9D9D9"/>
          </w:tcPr>
          <w:p>
            <w:r/>
            <w:r>
              <w:rPr>
                <w:rFonts w:ascii="Calibri" w:hAnsi="Calibri"/>
                <w:b/>
                <w:sz w:val="20"/>
              </w:rPr>
              <w:t>Dimension</w:t>
            </w:r>
          </w:p>
        </w:tc>
        <w:tc>
          <w:tcPr>
            <w:tcW w:type="dxa" w:w="864"/>
            <w:shd w:val="clear" w:color="auto" w:fill="D9D9D9"/>
          </w:tcPr>
          <w:p>
            <w:r/>
            <w:r>
              <w:rPr>
                <w:rFonts w:ascii="Calibri" w:hAnsi="Calibri"/>
                <w:b/>
                <w:sz w:val="20"/>
              </w:rPr>
              <w:t>Weight</w:t>
            </w:r>
          </w:p>
        </w:tc>
        <w:tc>
          <w:tcPr>
            <w:tcW w:type="dxa" w:w="720"/>
            <w:shd w:val="clear" w:color="auto" w:fill="D9D9D9"/>
          </w:tcPr>
          <w:p>
            <w:r/>
            <w:r>
              <w:rPr>
                <w:rFonts w:ascii="Calibri" w:hAnsi="Calibri"/>
                <w:b/>
                <w:sz w:val="20"/>
              </w:rPr>
              <w:t>Score</w:t>
            </w:r>
          </w:p>
        </w:tc>
        <w:tc>
          <w:tcPr>
            <w:tcW w:type="dxa" w:w="1008"/>
            <w:shd w:val="clear" w:color="auto" w:fill="D9D9D9"/>
          </w:tcPr>
          <w:p>
            <w:r/>
            <w:r>
              <w:rPr>
                <w:rFonts w:ascii="Calibri" w:hAnsi="Calibri"/>
                <w:b/>
                <w:sz w:val="20"/>
              </w:rPr>
              <w:t>Weighted</w:t>
            </w:r>
          </w:p>
        </w:tc>
        <w:tc>
          <w:tcPr>
            <w:tcW w:type="dxa" w:w="4464"/>
            <w:shd w:val="clear" w:color="auto" w:fill="D9D9D9"/>
          </w:tcPr>
          <w:p>
            <w:r/>
            <w:r>
              <w:rPr>
                <w:rFonts w:ascii="Calibri" w:hAnsi="Calibri"/>
                <w:b/>
                <w:sz w:val="20"/>
              </w:rPr>
              <w:t>Rationale</w:t>
            </w:r>
          </w:p>
        </w:tc>
      </w:tr>
      <w:tr>
        <w:tc>
          <w:tcPr>
            <w:tcW w:type="dxa" w:w="2304"/>
          </w:tcPr>
          <w:p>
            <w:r/>
            <w:r>
              <w:rPr>
                <w:rFonts w:ascii="Calibri" w:hAnsi="Calibri"/>
                <w:sz w:val="20"/>
              </w:rPr>
              <w:t>Signal Strength</w:t>
            </w:r>
          </w:p>
        </w:tc>
        <w:tc>
          <w:tcPr>
            <w:tcW w:type="dxa" w:w="864"/>
          </w:tcPr>
          <w:p>
            <w:r/>
            <w:r>
              <w:rPr>
                <w:rFonts w:ascii="Calibri" w:hAnsi="Calibri"/>
                <w:sz w:val="20"/>
              </w:rPr>
              <w:t>×2.0</w:t>
            </w:r>
          </w:p>
        </w:tc>
        <w:tc>
          <w:tcPr>
            <w:tcW w:type="dxa" w:w="720"/>
          </w:tcPr>
          <w:p>
            <w:r/>
            <w:r>
              <w:rPr>
                <w:rFonts w:ascii="Calibri" w:hAnsi="Calibri"/>
                <w:sz w:val="20"/>
              </w:rPr>
              <w:t>3.5</w:t>
            </w:r>
          </w:p>
        </w:tc>
        <w:tc>
          <w:tcPr>
            <w:tcW w:type="dxa" w:w="1008"/>
          </w:tcPr>
          <w:p>
            <w:r/>
            <w:r>
              <w:rPr>
                <w:rFonts w:ascii="Calibri" w:hAnsi="Calibri"/>
                <w:sz w:val="20"/>
              </w:rPr>
              <w:t>7.0</w:t>
            </w:r>
          </w:p>
        </w:tc>
        <w:tc>
          <w:tcPr>
            <w:tcW w:type="dxa" w:w="4464"/>
          </w:tcPr>
          <w:p>
            <w:r/>
            <w:r>
              <w:rPr>
                <w:rFonts w:ascii="Calibri" w:hAnsi="Calibri"/>
                <w:sz w:val="20"/>
              </w:rPr>
              <w:t>Clean Phase 3 data in both active and chronic TED, Priority Review + BTD. Trimmed from 4.0 to 3.5 post Session 26 demotion because franchise value has been materially re-priced by Amgen SC data and REVEAL-1 disappointment.</w:t>
            </w:r>
          </w:p>
        </w:tc>
      </w:tr>
      <w:tr>
        <w:tc>
          <w:tcPr>
            <w:tcW w:type="dxa" w:w="2304"/>
          </w:tcPr>
          <w:p>
            <w:r/>
            <w:r>
              <w:rPr>
                <w:rFonts w:ascii="Calibri" w:hAnsi="Calibri"/>
                <w:sz w:val="20"/>
              </w:rPr>
              <w:t>Catalyst Clarity</w:t>
            </w:r>
          </w:p>
        </w:tc>
        <w:tc>
          <w:tcPr>
            <w:tcW w:type="dxa" w:w="864"/>
          </w:tcPr>
          <w:p>
            <w:r/>
            <w:r>
              <w:rPr>
                <w:rFonts w:ascii="Calibri" w:hAnsi="Calibri"/>
                <w:sz w:val="20"/>
              </w:rPr>
              <w:t>×1.0</w:t>
            </w:r>
          </w:p>
        </w:tc>
        <w:tc>
          <w:tcPr>
            <w:tcW w:type="dxa" w:w="720"/>
          </w:tcPr>
          <w:p>
            <w:r/>
            <w:r>
              <w:rPr>
                <w:rFonts w:ascii="Calibri" w:hAnsi="Calibri"/>
                <w:sz w:val="20"/>
              </w:rPr>
              <w:t>5.0</w:t>
            </w:r>
          </w:p>
        </w:tc>
        <w:tc>
          <w:tcPr>
            <w:tcW w:type="dxa" w:w="1008"/>
          </w:tcPr>
          <w:p>
            <w:r/>
            <w:r>
              <w:rPr>
                <w:rFonts w:ascii="Calibri" w:hAnsi="Calibri"/>
                <w:sz w:val="20"/>
              </w:rPr>
              <w:t>5.0</w:t>
            </w:r>
          </w:p>
        </w:tc>
        <w:tc>
          <w:tcPr>
            <w:tcW w:type="dxa" w:w="4464"/>
          </w:tcPr>
          <w:p>
            <w:r/>
            <w:r>
              <w:rPr>
                <w:rFonts w:ascii="Calibri" w:hAnsi="Calibri"/>
                <w:sz w:val="20"/>
              </w:rPr>
              <w:t>Hard binary PDUFA 30 June 2026. No AdCom. Launch planned H2 2026.</w:t>
            </w:r>
          </w:p>
        </w:tc>
      </w:tr>
      <w:tr>
        <w:tc>
          <w:tcPr>
            <w:tcW w:type="dxa" w:w="2304"/>
          </w:tcPr>
          <w:p>
            <w:r/>
            <w:r>
              <w:rPr>
                <w:rFonts w:ascii="Calibri" w:hAnsi="Calibri"/>
                <w:sz w:val="20"/>
              </w:rPr>
              <w:t>Info Asymmetry</w:t>
            </w:r>
          </w:p>
        </w:tc>
        <w:tc>
          <w:tcPr>
            <w:tcW w:type="dxa" w:w="864"/>
          </w:tcPr>
          <w:p>
            <w:r/>
            <w:r>
              <w:rPr>
                <w:rFonts w:ascii="Calibri" w:hAnsi="Calibri"/>
                <w:sz w:val="20"/>
              </w:rPr>
              <w:t>×1.5</w:t>
            </w:r>
          </w:p>
        </w:tc>
        <w:tc>
          <w:tcPr>
            <w:tcW w:type="dxa" w:w="720"/>
          </w:tcPr>
          <w:p>
            <w:r/>
            <w:r>
              <w:rPr>
                <w:rFonts w:ascii="Calibri" w:hAnsi="Calibri"/>
                <w:sz w:val="20"/>
              </w:rPr>
              <w:t>2.0</w:t>
            </w:r>
          </w:p>
        </w:tc>
        <w:tc>
          <w:tcPr>
            <w:tcW w:type="dxa" w:w="1008"/>
          </w:tcPr>
          <w:p>
            <w:r/>
            <w:r>
              <w:rPr>
                <w:rFonts w:ascii="Calibri" w:hAnsi="Calibri"/>
                <w:sz w:val="20"/>
              </w:rPr>
              <w:t>3.0</w:t>
            </w:r>
          </w:p>
        </w:tc>
        <w:tc>
          <w:tcPr>
            <w:tcW w:type="dxa" w:w="4464"/>
          </w:tcPr>
          <w:p>
            <w:r/>
            <w:r>
              <w:rPr>
                <w:rFonts w:ascii="Calibri" w:hAnsi="Calibri"/>
                <w:sz w:val="20"/>
              </w:rPr>
              <w:t>Well-covered (11–12 analysts). Dataset publicly available. The asymmetry is in the dislocation itself, not the underlying clinical data.</w:t>
            </w:r>
          </w:p>
        </w:tc>
      </w:tr>
      <w:tr>
        <w:tc>
          <w:tcPr>
            <w:tcW w:type="dxa" w:w="2304"/>
          </w:tcPr>
          <w:p>
            <w:r/>
            <w:r>
              <w:rPr>
                <w:rFonts w:ascii="Calibri" w:hAnsi="Calibri"/>
                <w:sz w:val="20"/>
              </w:rPr>
              <w:t>Risk/Reward</w:t>
            </w:r>
          </w:p>
        </w:tc>
        <w:tc>
          <w:tcPr>
            <w:tcW w:type="dxa" w:w="864"/>
          </w:tcPr>
          <w:p>
            <w:r/>
            <w:r>
              <w:rPr>
                <w:rFonts w:ascii="Calibri" w:hAnsi="Calibri"/>
                <w:sz w:val="20"/>
              </w:rPr>
              <w:t>×1.0</w:t>
            </w:r>
          </w:p>
        </w:tc>
        <w:tc>
          <w:tcPr>
            <w:tcW w:type="dxa" w:w="720"/>
          </w:tcPr>
          <w:p>
            <w:r/>
            <w:r>
              <w:rPr>
                <w:rFonts w:ascii="Calibri" w:hAnsi="Calibri"/>
                <w:sz w:val="20"/>
              </w:rPr>
              <w:t>3.5</w:t>
            </w:r>
          </w:p>
        </w:tc>
        <w:tc>
          <w:tcPr>
            <w:tcW w:type="dxa" w:w="1008"/>
          </w:tcPr>
          <w:p>
            <w:r/>
            <w:r>
              <w:rPr>
                <w:rFonts w:ascii="Calibri" w:hAnsi="Calibri"/>
                <w:sz w:val="20"/>
              </w:rPr>
              <w:t>3.5</w:t>
            </w:r>
          </w:p>
        </w:tc>
        <w:tc>
          <w:tcPr>
            <w:tcW w:type="dxa" w:w="4464"/>
          </w:tcPr>
          <w:p>
            <w:r/>
            <w:r>
              <w:rPr>
                <w:rFonts w:ascii="Calibri" w:hAnsi="Calibri"/>
                <w:sz w:val="20"/>
              </w:rPr>
              <w:t>$14 vs base-case $22–30 (56–114% upside) vs bear-case $8–14 (-0–45% downside). Materially asymmetric but wider tails than VERA.</w:t>
            </w:r>
          </w:p>
        </w:tc>
      </w:tr>
      <w:tr>
        <w:tc>
          <w:tcPr>
            <w:tcW w:type="dxa" w:w="2304"/>
          </w:tcPr>
          <w:p>
            <w:r/>
            <w:r>
              <w:rPr>
                <w:rFonts w:ascii="Calibri" w:hAnsi="Calibri"/>
                <w:sz w:val="20"/>
              </w:rPr>
              <w:t>Edge Decay</w:t>
            </w:r>
          </w:p>
        </w:tc>
        <w:tc>
          <w:tcPr>
            <w:tcW w:type="dxa" w:w="864"/>
          </w:tcPr>
          <w:p>
            <w:r/>
            <w:r>
              <w:rPr>
                <w:rFonts w:ascii="Calibri" w:hAnsi="Calibri"/>
                <w:sz w:val="20"/>
              </w:rPr>
              <w:t>×1.0</w:t>
            </w:r>
          </w:p>
        </w:tc>
        <w:tc>
          <w:tcPr>
            <w:tcW w:type="dxa" w:w="720"/>
          </w:tcPr>
          <w:p>
            <w:r/>
            <w:r>
              <w:rPr>
                <w:rFonts w:ascii="Calibri" w:hAnsi="Calibri"/>
                <w:sz w:val="20"/>
              </w:rPr>
              <w:t>2.5</w:t>
            </w:r>
          </w:p>
        </w:tc>
        <w:tc>
          <w:tcPr>
            <w:tcW w:type="dxa" w:w="1008"/>
          </w:tcPr>
          <w:p>
            <w:r/>
            <w:r>
              <w:rPr>
                <w:rFonts w:ascii="Calibri" w:hAnsi="Calibri"/>
                <w:sz w:val="20"/>
              </w:rPr>
              <w:t>2.5</w:t>
            </w:r>
          </w:p>
        </w:tc>
        <w:tc>
          <w:tcPr>
            <w:tcW w:type="dxa" w:w="4464"/>
          </w:tcPr>
          <w:p>
            <w:r/>
            <w:r>
              <w:rPr>
                <w:rFonts w:ascii="Calibri" w:hAnsi="Calibri"/>
                <w:sz w:val="20"/>
              </w:rPr>
              <w:t>Well-covered. Dislocation already partially healing — limited remaining room for pure re-rating without new catalyst.</w:t>
            </w:r>
          </w:p>
        </w:tc>
      </w:tr>
      <w:tr>
        <w:tc>
          <w:tcPr>
            <w:tcW w:type="dxa" w:w="2304"/>
          </w:tcPr>
          <w:p>
            <w:r/>
            <w:r>
              <w:rPr>
                <w:rFonts w:ascii="Calibri" w:hAnsi="Calibri"/>
                <w:sz w:val="20"/>
              </w:rPr>
              <w:t>Liquidity</w:t>
            </w:r>
          </w:p>
        </w:tc>
        <w:tc>
          <w:tcPr>
            <w:tcW w:type="dxa" w:w="864"/>
          </w:tcPr>
          <w:p>
            <w:r/>
            <w:r>
              <w:rPr>
                <w:rFonts w:ascii="Calibri" w:hAnsi="Calibri"/>
                <w:sz w:val="20"/>
              </w:rPr>
              <w:t>×1.0</w:t>
            </w:r>
          </w:p>
        </w:tc>
        <w:tc>
          <w:tcPr>
            <w:tcW w:type="dxa" w:w="720"/>
          </w:tcPr>
          <w:p>
            <w:r/>
            <w:r>
              <w:rPr>
                <w:rFonts w:ascii="Calibri" w:hAnsi="Calibri"/>
                <w:sz w:val="20"/>
              </w:rPr>
              <w:t>3.5</w:t>
            </w:r>
          </w:p>
        </w:tc>
        <w:tc>
          <w:tcPr>
            <w:tcW w:type="dxa" w:w="1008"/>
          </w:tcPr>
          <w:p>
            <w:r/>
            <w:r>
              <w:rPr>
                <w:rFonts w:ascii="Calibri" w:hAnsi="Calibri"/>
                <w:sz w:val="20"/>
              </w:rPr>
              <w:t>3.5</w:t>
            </w:r>
          </w:p>
        </w:tc>
        <w:tc>
          <w:tcPr>
            <w:tcW w:type="dxa" w:w="4464"/>
          </w:tcPr>
          <w:p>
            <w:r/>
            <w:r>
              <w:rPr>
                <w:rFonts w:ascii="Calibri" w:hAnsi="Calibri"/>
                <w:sz w:val="20"/>
              </w:rPr>
              <w:t>NASDAQ, $1.45–1.57B mcap. Adequate but not excellent. Options liquid enough for overlay strategies.</w:t>
            </w:r>
          </w:p>
        </w:tc>
      </w:tr>
      <w:tr>
        <w:tc>
          <w:tcPr>
            <w:tcW w:type="dxa" w:w="2304"/>
          </w:tcPr>
          <w:p>
            <w:r/>
            <w:r>
              <w:rPr>
                <w:rFonts w:ascii="Calibri" w:hAnsi="Calibri"/>
                <w:sz w:val="20"/>
              </w:rPr>
              <w:t>Catalyst Timeline</w:t>
            </w:r>
          </w:p>
        </w:tc>
        <w:tc>
          <w:tcPr>
            <w:tcW w:type="dxa" w:w="864"/>
          </w:tcPr>
          <w:p>
            <w:r/>
            <w:r>
              <w:rPr>
                <w:rFonts w:ascii="Calibri" w:hAnsi="Calibri"/>
                <w:sz w:val="20"/>
              </w:rPr>
              <w:t>×1.0</w:t>
            </w:r>
          </w:p>
        </w:tc>
        <w:tc>
          <w:tcPr>
            <w:tcW w:type="dxa" w:w="720"/>
          </w:tcPr>
          <w:p>
            <w:r/>
            <w:r>
              <w:rPr>
                <w:rFonts w:ascii="Calibri" w:hAnsi="Calibri"/>
                <w:sz w:val="20"/>
              </w:rPr>
              <w:t>4.0</w:t>
            </w:r>
          </w:p>
        </w:tc>
        <w:tc>
          <w:tcPr>
            <w:tcW w:type="dxa" w:w="1008"/>
          </w:tcPr>
          <w:p>
            <w:r/>
            <w:r>
              <w:rPr>
                <w:rFonts w:ascii="Calibri" w:hAnsi="Calibri"/>
                <w:sz w:val="20"/>
              </w:rPr>
              <w:t>4.0</w:t>
            </w:r>
          </w:p>
        </w:tc>
        <w:tc>
          <w:tcPr>
            <w:tcW w:type="dxa" w:w="4464"/>
          </w:tcPr>
          <w:p>
            <w:r/>
            <w:r>
              <w:rPr>
                <w:rFonts w:ascii="Calibri" w:hAnsi="Calibri"/>
                <w:sz w:val="20"/>
              </w:rPr>
              <w:t>~77 days to PDUFA — in the 30–90 day sweet spot; 4.0 on the 0d=5 / 30d=4 anchor curve.</w:t>
            </w:r>
          </w:p>
        </w:tc>
      </w:tr>
      <w:tr>
        <w:tc>
          <w:tcPr>
            <w:tcW w:type="dxa" w:w="2304"/>
          </w:tcPr>
          <w:p>
            <w:r/>
            <w:r>
              <w:rPr>
                <w:rFonts w:ascii="Calibri" w:hAnsi="Calibri"/>
                <w:sz w:val="20"/>
              </w:rPr>
              <w:t>Total (prior to score discipline)</w:t>
            </w:r>
          </w:p>
        </w:tc>
        <w:tc>
          <w:tcPr>
            <w:tcW w:type="dxa" w:w="864"/>
          </w:tcPr>
          <w:p>
            <w:r/>
            <w:r>
              <w:rPr>
                <w:rFonts w:ascii="Calibri" w:hAnsi="Calibri"/>
                <w:sz w:val="20"/>
              </w:rPr>
            </w:r>
          </w:p>
        </w:tc>
        <w:tc>
          <w:tcPr>
            <w:tcW w:type="dxa" w:w="720"/>
          </w:tcPr>
          <w:p>
            <w:r/>
            <w:r>
              <w:rPr>
                <w:rFonts w:ascii="Calibri" w:hAnsi="Calibri"/>
                <w:sz w:val="20"/>
              </w:rPr>
            </w:r>
          </w:p>
        </w:tc>
        <w:tc>
          <w:tcPr>
            <w:tcW w:type="dxa" w:w="1008"/>
          </w:tcPr>
          <w:p>
            <w:r/>
            <w:r>
              <w:rPr>
                <w:rFonts w:ascii="Calibri" w:hAnsi="Calibri"/>
                <w:sz w:val="20"/>
              </w:rPr>
              <w:t>28.5</w:t>
            </w:r>
          </w:p>
        </w:tc>
        <w:tc>
          <w:tcPr>
            <w:tcW w:type="dxa" w:w="4464"/>
          </w:tcPr>
          <w:p>
            <w:r/>
            <w:r>
              <w:rPr>
                <w:rFonts w:ascii="Calibri" w:hAnsi="Calibri"/>
                <w:sz w:val="20"/>
              </w:rPr>
            </w:r>
          </w:p>
        </w:tc>
      </w:tr>
      <w:tr>
        <w:tc>
          <w:tcPr>
            <w:tcW w:type="dxa" w:w="2304"/>
          </w:tcPr>
          <w:p>
            <w:r/>
            <w:r>
              <w:rPr>
                <w:rFonts w:ascii="Calibri" w:hAnsi="Calibri"/>
                <w:sz w:val="20"/>
              </w:rPr>
              <w:t>Franchise-uncertainty discount</w:t>
            </w:r>
          </w:p>
        </w:tc>
        <w:tc>
          <w:tcPr>
            <w:tcW w:type="dxa" w:w="864"/>
          </w:tcPr>
          <w:p>
            <w:r/>
            <w:r>
              <w:rPr>
                <w:rFonts w:ascii="Calibri" w:hAnsi="Calibri"/>
                <w:sz w:val="20"/>
              </w:rPr>
            </w:r>
          </w:p>
        </w:tc>
        <w:tc>
          <w:tcPr>
            <w:tcW w:type="dxa" w:w="720"/>
          </w:tcPr>
          <w:p>
            <w:r/>
            <w:r>
              <w:rPr>
                <w:rFonts w:ascii="Calibri" w:hAnsi="Calibri"/>
                <w:sz w:val="20"/>
              </w:rPr>
            </w:r>
          </w:p>
        </w:tc>
        <w:tc>
          <w:tcPr>
            <w:tcW w:type="dxa" w:w="1008"/>
          </w:tcPr>
          <w:p>
            <w:r/>
            <w:r>
              <w:rPr>
                <w:rFonts w:ascii="Calibri" w:hAnsi="Calibri"/>
                <w:sz w:val="20"/>
              </w:rPr>
              <w:t>-2.5</w:t>
            </w:r>
          </w:p>
        </w:tc>
        <w:tc>
          <w:tcPr>
            <w:tcW w:type="dxa" w:w="4464"/>
          </w:tcPr>
          <w:p>
            <w:r/>
            <w:r>
              <w:rPr>
                <w:rFonts w:ascii="Calibri" w:hAnsi="Calibri"/>
                <w:sz w:val="20"/>
              </w:rPr>
              <w:t>Elegrobart franchise overhang materially lowers post-approval re-rating ceiling; per Session 26 analysis.</w:t>
            </w:r>
          </w:p>
        </w:tc>
      </w:tr>
      <w:tr>
        <w:tc>
          <w:tcPr>
            <w:tcW w:type="dxa" w:w="2304"/>
          </w:tcPr>
          <w:p>
            <w:r/>
            <w:r>
              <w:rPr>
                <w:rFonts w:ascii="Calibri" w:hAnsi="Calibri"/>
                <w:sz w:val="20"/>
              </w:rPr>
              <w:t>FINAL SCORE</w:t>
            </w:r>
          </w:p>
        </w:tc>
        <w:tc>
          <w:tcPr>
            <w:tcW w:type="dxa" w:w="864"/>
          </w:tcPr>
          <w:p>
            <w:r/>
            <w:r>
              <w:rPr>
                <w:rFonts w:ascii="Calibri" w:hAnsi="Calibri"/>
                <w:sz w:val="20"/>
              </w:rPr>
            </w:r>
          </w:p>
        </w:tc>
        <w:tc>
          <w:tcPr>
            <w:tcW w:type="dxa" w:w="720"/>
          </w:tcPr>
          <w:p>
            <w:r/>
            <w:r>
              <w:rPr>
                <w:rFonts w:ascii="Calibri" w:hAnsi="Calibri"/>
                <w:sz w:val="20"/>
              </w:rPr>
            </w:r>
          </w:p>
        </w:tc>
        <w:tc>
          <w:tcPr>
            <w:tcW w:type="dxa" w:w="1008"/>
          </w:tcPr>
          <w:p>
            <w:r/>
            <w:r>
              <w:rPr>
                <w:rFonts w:ascii="Calibri" w:hAnsi="Calibri"/>
                <w:sz w:val="20"/>
              </w:rPr>
              <w:t>26.0</w:t>
            </w:r>
          </w:p>
        </w:tc>
        <w:tc>
          <w:tcPr>
            <w:tcW w:type="dxa" w:w="4464"/>
          </w:tcPr>
          <w:p>
            <w:r/>
            <w:r>
              <w:rPr>
                <w:rFonts w:ascii="Calibri" w:hAnsi="Calibri"/>
                <w:sz w:val="20"/>
              </w:rPr>
              <w:t>Below 28 active-candidate threshold. Watchlist tier.</w:t>
            </w:r>
          </w:p>
        </w:tc>
      </w:tr>
    </w:tbl>
    <w:p>
      <w:pPr>
        <w:spacing w:line="276" w:lineRule="auto"/>
        <w:jc w:val="both"/>
      </w:pPr>
      <w:r>
        <w:rPr>
          <w:rFonts w:ascii="Calibri" w:hAnsi="Calibri"/>
          <w:b w:val="0"/>
          <w:i w:val="0"/>
          <w:sz w:val="22"/>
        </w:rPr>
        <w:t>Web-research commentary. The April 2026 research sweep confirms the franchise-uncertainty discount is appropriate and does not materially change any individual dimension. Amgen SC Tepezza's 77% PRR reinforces the long-dated franchise overhang but does not affect the near-term veligrotug approval probability. REVEAL-2 remains the pivotal franchise-read milestone; its readout timing (Q2 2026) and result will determine whether the score is restored toward 28–30 (active) or further compressed toward the 22 watchlist floor.</w:t>
      </w:r>
    </w:p>
    <w:p>
      <w:pPr>
        <w:spacing w:before="240" w:after="80" w:line="276" w:lineRule="auto"/>
      </w:pPr>
      <w:r>
        <w:rPr>
          <w:rFonts w:ascii="Calibri" w:hAnsi="Calibri"/>
          <w:b/>
          <w:sz w:val="36"/>
        </w:rPr>
        <w:t>A.7  Market Interpretation vs. Mine</w:t>
      </w:r>
    </w:p>
    <w:tbl>
      <w:tblPr>
        <w:tblStyle w:val="TableGrid"/>
        <w:tblW w:type="auto" w:w="0"/>
        <w:tblLook w:firstColumn="1" w:firstRow="1" w:lastColumn="0" w:lastRow="0" w:noHBand="0" w:noVBand="1" w:val="04A0"/>
      </w:tblPr>
      <w:tblGrid>
        <w:gridCol w:w="3120"/>
        <w:gridCol w:w="3120"/>
        <w:gridCol w:w="3120"/>
      </w:tblGrid>
      <w:tr>
        <w:tc>
          <w:tcPr>
            <w:tcW w:type="dxa" w:w="2736"/>
            <w:shd w:val="clear" w:color="auto" w:fill="D9D9D9"/>
          </w:tcPr>
          <w:p>
            <w:r/>
            <w:r>
              <w:rPr>
                <w:rFonts w:ascii="Calibri" w:hAnsi="Calibri"/>
                <w:b/>
                <w:sz w:val="20"/>
              </w:rPr>
              <w:t>Contested question</w:t>
            </w:r>
          </w:p>
        </w:tc>
        <w:tc>
          <w:tcPr>
            <w:tcW w:type="dxa" w:w="3312"/>
            <w:shd w:val="clear" w:color="auto" w:fill="D9D9D9"/>
          </w:tcPr>
          <w:p>
            <w:r/>
            <w:r>
              <w:rPr>
                <w:rFonts w:ascii="Calibri" w:hAnsi="Calibri"/>
                <w:b/>
                <w:sz w:val="20"/>
              </w:rPr>
              <w:t>Market's interpretation</w:t>
            </w:r>
          </w:p>
        </w:tc>
        <w:tc>
          <w:tcPr>
            <w:tcW w:type="dxa" w:w="3312"/>
            <w:shd w:val="clear" w:color="auto" w:fill="D9D9D9"/>
          </w:tcPr>
          <w:p>
            <w:r/>
            <w:r>
              <w:rPr>
                <w:rFonts w:ascii="Calibri" w:hAnsi="Calibri"/>
                <w:b/>
                <w:sz w:val="20"/>
              </w:rPr>
              <w:t>This thesis</w:t>
            </w:r>
          </w:p>
        </w:tc>
      </w:tr>
      <w:tr>
        <w:tc>
          <w:tcPr>
            <w:tcW w:type="dxa" w:w="2736"/>
          </w:tcPr>
          <w:p>
            <w:r/>
            <w:r>
              <w:rPr>
                <w:rFonts w:ascii="Calibri" w:hAnsi="Calibri"/>
                <w:sz w:val="20"/>
              </w:rPr>
              <w:t>Is veligrotug approvable on 30 June 2026?</w:t>
            </w:r>
          </w:p>
        </w:tc>
        <w:tc>
          <w:tcPr>
            <w:tcW w:type="dxa" w:w="3312"/>
          </w:tcPr>
          <w:p>
            <w:r/>
            <w:r>
              <w:rPr>
                <w:rFonts w:ascii="Calibri" w:hAnsi="Calibri"/>
                <w:sz w:val="20"/>
              </w:rPr>
              <w:t>Yes — approval is expected but the stock is pricing CRL risk in tail.</w:t>
            </w:r>
          </w:p>
        </w:tc>
        <w:tc>
          <w:tcPr>
            <w:tcW w:type="dxa" w:w="3312"/>
          </w:tcPr>
          <w:p>
            <w:r/>
            <w:r>
              <w:rPr>
                <w:rFonts w:ascii="Calibri" w:hAnsi="Calibri"/>
                <w:sz w:val="20"/>
              </w:rPr>
              <w:t>Yes, with ~85–90% probability. The tape-priced CRL risk is excessive relative to the clean clinical and regulatory signal stack.</w:t>
            </w:r>
          </w:p>
        </w:tc>
      </w:tr>
      <w:tr>
        <w:tc>
          <w:tcPr>
            <w:tcW w:type="dxa" w:w="2736"/>
          </w:tcPr>
          <w:p>
            <w:r/>
            <w:r>
              <w:rPr>
                <w:rFonts w:ascii="Calibri" w:hAnsi="Calibri"/>
                <w:sz w:val="20"/>
              </w:rPr>
              <w:t>Does Amgen SC Tepezza's 77% PRR kill Viridian?</w:t>
            </w:r>
          </w:p>
        </w:tc>
        <w:tc>
          <w:tcPr>
            <w:tcW w:type="dxa" w:w="3312"/>
          </w:tcPr>
          <w:p>
            <w:r/>
            <w:r>
              <w:rPr>
                <w:rFonts w:ascii="Calibri" w:hAnsi="Calibri"/>
                <w:sz w:val="20"/>
              </w:rPr>
              <w:t>Effectively yes — SC is the future and Viridian's SC asset (elegrobart) is behind.</w:t>
            </w:r>
          </w:p>
        </w:tc>
        <w:tc>
          <w:tcPr>
            <w:tcW w:type="dxa" w:w="3312"/>
          </w:tcPr>
          <w:p>
            <w:r/>
            <w:r>
              <w:rPr>
                <w:rFonts w:ascii="Calibri" w:hAnsi="Calibri"/>
                <w:sz w:val="20"/>
              </w:rPr>
              <w:t>No. SC Tepezza competes with elegrobart, not veligrotug. The near-term thesis is IV approval vs IV Tepezza, where veligrotug differentiates on dosing convenience, chronic-label, and hearing safety.</w:t>
            </w:r>
          </w:p>
        </w:tc>
      </w:tr>
      <w:tr>
        <w:tc>
          <w:tcPr>
            <w:tcW w:type="dxa" w:w="2736"/>
          </w:tcPr>
          <w:p>
            <w:r/>
            <w:r>
              <w:rPr>
                <w:rFonts w:ascii="Calibri" w:hAnsi="Calibri"/>
                <w:sz w:val="20"/>
              </w:rPr>
              <w:t>Is veligrotug a true second mover or a generic-like follower?</w:t>
            </w:r>
          </w:p>
        </w:tc>
        <w:tc>
          <w:tcPr>
            <w:tcW w:type="dxa" w:w="3312"/>
          </w:tcPr>
          <w:p>
            <w:r/>
            <w:r>
              <w:rPr>
                <w:rFonts w:ascii="Calibri" w:hAnsi="Calibri"/>
                <w:sz w:val="20"/>
              </w:rPr>
              <w:t>Market implies me-too pricing pressure.</w:t>
            </w:r>
          </w:p>
        </w:tc>
        <w:tc>
          <w:tcPr>
            <w:tcW w:type="dxa" w:w="3312"/>
          </w:tcPr>
          <w:p>
            <w:r/>
            <w:r>
              <w:rPr>
                <w:rFonts w:ascii="Calibri" w:hAnsi="Calibri"/>
                <w:sz w:val="20"/>
              </w:rPr>
              <w:t>Genuinely differentiated on three dimensions (5 vs 8 infusions, chronic TED label, hearing safety). Differentiation justifies parity pricing with potential premium.</w:t>
            </w:r>
          </w:p>
        </w:tc>
      </w:tr>
      <w:tr>
        <w:tc>
          <w:tcPr>
            <w:tcW w:type="dxa" w:w="2736"/>
          </w:tcPr>
          <w:p>
            <w:r/>
            <w:r>
              <w:rPr>
                <w:rFonts w:ascii="Calibri" w:hAnsi="Calibri"/>
                <w:sz w:val="20"/>
              </w:rPr>
              <w:t>Is the stock's recovery from $13.90 to $15.38 a dead-cat bounce?</w:t>
            </w:r>
          </w:p>
        </w:tc>
        <w:tc>
          <w:tcPr>
            <w:tcW w:type="dxa" w:w="3312"/>
          </w:tcPr>
          <w:p>
            <w:r/>
            <w:r>
              <w:rPr>
                <w:rFonts w:ascii="Calibri" w:hAnsi="Calibri"/>
                <w:sz w:val="20"/>
              </w:rPr>
              <w:t>Cautious — limited conviction in the bounce.</w:t>
            </w:r>
          </w:p>
        </w:tc>
        <w:tc>
          <w:tcPr>
            <w:tcW w:type="dxa" w:w="3312"/>
          </w:tcPr>
          <w:p>
            <w:r/>
            <w:r>
              <w:rPr>
                <w:rFonts w:ascii="Calibri" w:hAnsi="Calibri"/>
                <w:sz w:val="20"/>
              </w:rPr>
              <w:t>Technical pattern is consistent with post-capitulation recovery on declining volume, not dead-cat. Selling pressure appears exhausted pending new negative catalyst.</w:t>
            </w:r>
          </w:p>
        </w:tc>
      </w:tr>
      <w:tr>
        <w:tc>
          <w:tcPr>
            <w:tcW w:type="dxa" w:w="2736"/>
          </w:tcPr>
          <w:p>
            <w:r/>
            <w:r>
              <w:rPr>
                <w:rFonts w:ascii="Calibri" w:hAnsi="Calibri"/>
                <w:sz w:val="20"/>
              </w:rPr>
              <w:t>Does REVEAL-2 determine the investment outcome?</w:t>
            </w:r>
          </w:p>
        </w:tc>
        <w:tc>
          <w:tcPr>
            <w:tcW w:type="dxa" w:w="3312"/>
          </w:tcPr>
          <w:p>
            <w:r/>
            <w:r>
              <w:rPr>
                <w:rFonts w:ascii="Calibri" w:hAnsi="Calibri"/>
                <w:sz w:val="20"/>
              </w:rPr>
              <w:t>Yes — franchise value hangs on SC asset success.</w:t>
            </w:r>
          </w:p>
        </w:tc>
        <w:tc>
          <w:tcPr>
            <w:tcW w:type="dxa" w:w="3312"/>
          </w:tcPr>
          <w:p>
            <w:r/>
            <w:r>
              <w:rPr>
                <w:rFonts w:ascii="Calibri" w:hAnsi="Calibri"/>
                <w:sz w:val="20"/>
              </w:rPr>
              <w:t>REVEAL-2 determines the post-approval trajectory but not the near-dated 30 June catalyst outcome. The thesis can be profitable on veligrotug alone, with REVEAL-2 as free optionality (or kill-trigger-4 downside).</w:t>
            </w:r>
          </w:p>
        </w:tc>
      </w:tr>
      <w:tr>
        <w:tc>
          <w:tcPr>
            <w:tcW w:type="dxa" w:w="2736"/>
          </w:tcPr>
          <w:p>
            <w:r/>
            <w:r>
              <w:rPr>
                <w:rFonts w:ascii="Calibri" w:hAnsi="Calibri"/>
                <w:sz w:val="20"/>
              </w:rPr>
              <w:t>Is short interest a squeeze catalyst?</w:t>
            </w:r>
          </w:p>
        </w:tc>
        <w:tc>
          <w:tcPr>
            <w:tcW w:type="dxa" w:w="3312"/>
          </w:tcPr>
          <w:p>
            <w:r/>
            <w:r>
              <w:rPr>
                <w:rFonts w:ascii="Calibri" w:hAnsi="Calibri"/>
                <w:sz w:val="20"/>
              </w:rPr>
              <w:t>Underappreciated by sell-side.</w:t>
            </w:r>
          </w:p>
        </w:tc>
        <w:tc>
          <w:tcPr>
            <w:tcW w:type="dxa" w:w="3312"/>
          </w:tcPr>
          <w:p>
            <w:r/>
            <w:r>
              <w:rPr>
                <w:rFonts w:ascii="Calibri" w:hAnsi="Calibri"/>
                <w:sz w:val="20"/>
              </w:rPr>
              <w:t>Possibly — short interest is elevated and put-option flow is heavy. Approval print could trigger a short-covering spike; this is upside optionality, not base-case assumption.</w:t>
            </w:r>
          </w:p>
        </w:tc>
      </w:tr>
      <w:tr>
        <w:tc>
          <w:tcPr>
            <w:tcW w:type="dxa" w:w="2736"/>
          </w:tcPr>
          <w:p>
            <w:r/>
            <w:r>
              <w:rPr>
                <w:rFonts w:ascii="Calibri" w:hAnsi="Calibri"/>
                <w:sz w:val="20"/>
              </w:rPr>
              <w:t>Are the analyst PT cuts a leading indicator of further downside?</w:t>
            </w:r>
          </w:p>
        </w:tc>
        <w:tc>
          <w:tcPr>
            <w:tcW w:type="dxa" w:w="3312"/>
          </w:tcPr>
          <w:p>
            <w:r/>
            <w:r>
              <w:rPr>
                <w:rFonts w:ascii="Calibri" w:hAnsi="Calibri"/>
                <w:sz w:val="20"/>
              </w:rPr>
              <w:t>Yes — momentum is negative.</w:t>
            </w:r>
          </w:p>
        </w:tc>
        <w:tc>
          <w:tcPr>
            <w:tcW w:type="dxa" w:w="3312"/>
          </w:tcPr>
          <w:p>
            <w:r/>
            <w:r>
              <w:rPr>
                <w:rFonts w:ascii="Calibri" w:hAnsi="Calibri"/>
                <w:sz w:val="20"/>
              </w:rPr>
              <w:t>The PT cuts cluster in a 10-day window (31 Mar–7 Apr) and reflect REVEAL-1/Amgen response. Absent new negative catalyst, further cuts are unlikely in the T-minus window.</w:t>
            </w:r>
          </w:p>
        </w:tc>
      </w:tr>
    </w:tbl>
    <w:p>
      <w:pPr>
        <w:spacing w:line="276" w:lineRule="auto"/>
        <w:jc w:val="both"/>
      </w:pPr>
      <w:r>
        <w:rPr>
          <w:rFonts w:ascii="Calibri" w:hAnsi="Calibri"/>
          <w:b w:val="0"/>
          <w:i w:val="0"/>
          <w:sz w:val="22"/>
        </w:rPr>
        <w:t>Narrative arbitrage. The sell-side cuts absorbed the franchise-value repricing but did not distinguish between near-dated veligrotug approval (high probability, minimally affected by Amgen SC data) and long-dated elegrobart franchise competitiveness (materially affected). A catalyst-driven re-rating on 30 June can price the former independently of the latter, which is still unresolved.</w:t>
      </w:r>
    </w:p>
    <w:p>
      <w:pPr>
        <w:spacing w:before="240" w:after="80" w:line="276" w:lineRule="auto"/>
      </w:pPr>
      <w:r>
        <w:rPr>
          <w:rFonts w:ascii="Calibri" w:hAnsi="Calibri"/>
          <w:b/>
          <w:sz w:val="36"/>
        </w:rPr>
        <w:t>A.8  Risks — What Would Break the Thesis</w:t>
      </w:r>
    </w:p>
    <w:p>
      <w:pPr>
        <w:spacing w:line="276" w:lineRule="auto"/>
        <w:jc w:val="both"/>
      </w:pPr>
      <w:r>
        <w:rPr>
          <w:rFonts w:ascii="Calibri" w:hAnsi="Calibri"/>
          <w:b w:val="0"/>
          <w:i w:val="0"/>
          <w:sz w:val="22"/>
        </w:rPr>
        <w:t>Kill conditions ordered approximately by probability of occurrence in the T-minus window. Each is a discrete observable that, if triggered, forces exit or downgrade. VRDN's wider scenario distribution means kill-condition monitoring matters more than for VERA.</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1 — Complete Response Letter (CRL) for veligrotug.</w:t>
            </w:r>
          </w:p>
          <w:p>
            <w:pPr>
              <w:jc w:val="both"/>
            </w:pPr>
            <w:r>
              <w:rPr>
                <w:rFonts w:ascii="Calibri" w:hAnsi="Calibri"/>
                <w:sz w:val="22"/>
              </w:rPr>
              <w:t>Probability estimated at 8–12%. Trigger: FDA 8-K disclosure before/at PDUFA. Action: immediate full exit. Expected price reaction -40% to -55% intraday. The thesis inverts entirely on this event.</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2 — REVEAL-2 (elegrobart chronic TED) fails or materially disappoints before 30 June.</w:t>
            </w:r>
          </w:p>
          <w:p>
            <w:pPr>
              <w:jc w:val="both"/>
            </w:pPr>
            <w:r>
              <w:rPr>
                <w:rFonts w:ascii="Calibri" w:hAnsi="Calibri"/>
                <w:sz w:val="22"/>
              </w:rPr>
              <w:t>Probability estimated at 25–30%. Trigger: Viridian press release on REVEAL-2 topline disclosing missed primary endpoint or PRR materially below 40%. Action: Reduce position by ~50%; downgrade 3 score-points; re-evaluate entire franchise thesis. REVEAL-2 is the single most likely in-window event that can alter the investment case.</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3 — Stock rises above $20 pre-PDUFA without new positive catalyst.</w:t>
            </w:r>
          </w:p>
          <w:p>
            <w:pPr>
              <w:jc w:val="both"/>
            </w:pPr>
            <w:r>
              <w:rPr>
                <w:rFonts w:ascii="Calibri" w:hAnsi="Calibri"/>
                <w:sz w:val="22"/>
              </w:rPr>
              <w:t>Probability estimated at 15–20%. Trigger: sustained closes &gt;$20 more than 5 trading days pre-PDUFA. Action: Downgrade to pure Hold; reduce by 33–50%. Risk/reward deteriorates materially — the dislocation thesis is exhausted at that level and the residual upside is insufficient to compensate for the CRL tail.</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4 — Pre-PDUFA safety signal (hearing impairment re-evaluation, FDA safety communication).</w:t>
            </w:r>
          </w:p>
          <w:p>
            <w:pPr>
              <w:jc w:val="both"/>
            </w:pPr>
            <w:r>
              <w:rPr>
                <w:rFonts w:ascii="Calibri" w:hAnsi="Calibri"/>
                <w:sz w:val="22"/>
              </w:rPr>
              <w:t>Probability estimated at 3–5%. Trigger: FDA safety communication, ORIGIN-style safety amendment, or new post-hoc analysis revealing higher hearing-loss rate than prior disclosures. Action: Downgrade 4–5 score-points; likely exit.</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5 — FDA requests AdCom.</w:t>
            </w:r>
          </w:p>
          <w:p>
            <w:pPr>
              <w:jc w:val="both"/>
            </w:pPr>
            <w:r>
              <w:rPr>
                <w:rFonts w:ascii="Calibri" w:hAnsi="Calibri"/>
                <w:sz w:val="22"/>
              </w:rPr>
              <w:t>Probability estimated at 3–5%. Trigger: FDA announcement in 8-K or public calendar. Action: Downgrade 3 score-points; reduce by 50%. AdCom convening shifts probability distribution materially toward narrow-label or delayed outcomes.</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6 — Manufacturing/CMC deficiency in 8-K.</w:t>
            </w:r>
          </w:p>
          <w:p>
            <w:pPr>
              <w:jc w:val="both"/>
            </w:pPr>
            <w:r>
              <w:rPr>
                <w:rFonts w:ascii="Calibri" w:hAnsi="Calibri"/>
                <w:sz w:val="22"/>
              </w:rPr>
              <w:t>Probability estimated at 5%. Trigger: 8-K disclosure of FDA 483 observations or CMC information requests. Action: Downgrade 3 score-points; often leads to PDUFA extension.</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7 — Amgen SC Tepezza sBLA acceptance with accelerated 6-month review.</w:t>
            </w:r>
          </w:p>
          <w:p>
            <w:pPr>
              <w:jc w:val="both"/>
            </w:pPr>
            <w:r>
              <w:rPr>
                <w:rFonts w:ascii="Calibri" w:hAnsi="Calibri"/>
                <w:sz w:val="22"/>
              </w:rPr>
              <w:t>Probability estimated at 10–15%. Trigger: Amgen press release on sBLA acceptance and review timeline. Action: Franchise-value watch trigger; may downgrade 1–2 points. Not a hard kill on the near-dated thesis but pressures the post-approval re-rating ceiling.</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8 — Major institutional holder exit (&gt;5% position reduction in 13F/13G) disclosed pre-PDUFA.</w:t>
            </w:r>
          </w:p>
          <w:p>
            <w:pPr>
              <w:jc w:val="both"/>
            </w:pPr>
            <w:r>
              <w:rPr>
                <w:rFonts w:ascii="Calibri" w:hAnsi="Calibri"/>
                <w:sz w:val="22"/>
              </w:rPr>
              <w:t>Probability estimated at 15–20%. Trigger: 13F or 13G/A filings showing institutional exit. Action: Reduce size 25%; downgrade 1 point. The March 2026 $80M+ reduction already partially priced in; further large exits would be new information.</w:t>
            </w:r>
          </w:p>
        </w:tc>
      </w:tr>
    </w:tbl>
    <w:p>
      <w:pPr>
        <w:spacing w:line="276" w:lineRule="auto"/>
      </w:pP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Kill condition 9 — Cash runway signal from Q1 2026 earnings.</w:t>
            </w:r>
          </w:p>
          <w:p>
            <w:pPr>
              <w:jc w:val="both"/>
            </w:pPr>
            <w:r>
              <w:rPr>
                <w:rFonts w:ascii="Calibri" w:hAnsi="Calibri"/>
                <w:sz w:val="22"/>
              </w:rPr>
              <w:t>Probability estimated at 5%. Trigger: Early-May earnings disclosure of runway &lt;18 months or implied near-term financing need. Action: Reduce by 25–50% pending financing structure disclosure. Dilution overhang meaningfully compresses the approval-print reaction.</w:t>
            </w:r>
          </w:p>
        </w:tc>
      </w:tr>
    </w:tbl>
    <w:p>
      <w:pPr>
        <w:spacing w:line="276" w:lineRule="auto"/>
      </w:pPr>
    </w:p>
    <w:p>
      <w:pPr>
        <w:spacing w:line="276" w:lineRule="auto"/>
        <w:jc w:val="both"/>
      </w:pPr>
      <w:r>
        <w:rPr>
          <w:rFonts w:ascii="Calibri" w:hAnsi="Calibri"/>
          <w:b/>
          <w:i w:val="0"/>
          <w:sz w:val="22"/>
        </w:rPr>
        <w:t>What would change my mind:</w:t>
      </w:r>
    </w:p>
    <w:p>
      <w:pPr>
        <w:pStyle w:val="ListBullet"/>
        <w:spacing w:line="276" w:lineRule="auto"/>
        <w:jc w:val="both"/>
      </w:pPr>
      <w:r>
        <w:rPr>
          <w:rFonts w:ascii="Calibri" w:hAnsi="Calibri"/>
          <w:sz w:val="22"/>
        </w:rPr>
        <w:t>A CRL, obviously — the thesis is approval-anchored. Full exit without further analysis.</w:t>
      </w:r>
    </w:p>
    <w:p>
      <w:pPr>
        <w:pStyle w:val="ListBullet"/>
        <w:spacing w:line="276" w:lineRule="auto"/>
        <w:jc w:val="both"/>
      </w:pPr>
      <w:r>
        <w:rPr>
          <w:rFonts w:ascii="Calibri" w:hAnsi="Calibri"/>
          <w:sz w:val="22"/>
        </w:rPr>
        <w:t>REVEAL-2 failure or material disappointment — this would be the most damaging in-window event short of a CRL because it collapses the long-dated franchise story while the PDUFA is still pending, compressing the approval-print reaction.</w:t>
      </w:r>
    </w:p>
    <w:p>
      <w:pPr>
        <w:pStyle w:val="ListBullet"/>
        <w:spacing w:line="276" w:lineRule="auto"/>
        <w:jc w:val="both"/>
      </w:pPr>
      <w:r>
        <w:rPr>
          <w:rFonts w:ascii="Calibri" w:hAnsi="Calibri"/>
          <w:sz w:val="22"/>
        </w:rPr>
        <w:t>Sustained closes above $20 without new catalyst — dislocation thesis is exhausted; margin of safety gone.</w:t>
      </w:r>
    </w:p>
    <w:p>
      <w:pPr>
        <w:pStyle w:val="ListBullet"/>
        <w:spacing w:line="276" w:lineRule="auto"/>
        <w:jc w:val="both"/>
      </w:pPr>
      <w:r>
        <w:rPr>
          <w:rFonts w:ascii="Calibri" w:hAnsi="Calibri"/>
          <w:sz w:val="22"/>
        </w:rPr>
        <w:t>Amgen accelerating SC Tepezza commercial launch timeline (e.g., a partnership or specialty-pharmacy channel announcement) that materially shortens the 18–24 month exclusivity window veligrotug needs.</w:t>
      </w:r>
    </w:p>
    <w:p>
      <w:pPr>
        <w:pStyle w:val="ListBullet"/>
        <w:spacing w:line="276" w:lineRule="auto"/>
        <w:jc w:val="both"/>
      </w:pPr>
      <w:r>
        <w:rPr>
          <w:rFonts w:ascii="Calibri" w:hAnsi="Calibri"/>
          <w:sz w:val="22"/>
        </w:rPr>
        <w:t>Meaningful change in my own commercial model — e.g., KOL survey showing chronic-TED physicians still default to steroid/surgical intervention rather than veligrotug.</w:t>
      </w:r>
    </w:p>
    <w:p>
      <w:pPr>
        <w:spacing w:before="240" w:after="80" w:line="276" w:lineRule="auto"/>
      </w:pPr>
      <w:r>
        <w:rPr>
          <w:rFonts w:ascii="Calibri" w:hAnsi="Calibri"/>
          <w:b/>
          <w:sz w:val="36"/>
        </w:rPr>
        <w:t>A.9  Positioning</w:t>
      </w:r>
    </w:p>
    <w:p>
      <w:pPr>
        <w:spacing w:line="276" w:lineRule="auto"/>
        <w:jc w:val="both"/>
      </w:pPr>
      <w:r>
        <w:rPr>
          <w:rFonts w:ascii="Calibri" w:hAnsi="Calibri"/>
          <w:b/>
          <w:i w:val="0"/>
          <w:sz w:val="22"/>
        </w:rPr>
        <w:t>The core trade — long equity into catalyst, sizing-capped.</w:t>
      </w:r>
    </w:p>
    <w:p>
      <w:pPr>
        <w:spacing w:line="276" w:lineRule="auto"/>
        <w:jc w:val="both"/>
      </w:pPr>
      <w:r>
        <w:rPr>
          <w:rFonts w:ascii="Calibri" w:hAnsi="Calibri"/>
          <w:b w:val="0"/>
          <w:i w:val="0"/>
          <w:sz w:val="22"/>
        </w:rPr>
        <w:t>Long equity, 1.5–3% of risk budget (capped below score-implied sizing due to watchlist-tier franchise uncertainty). Staged entry 50/25/25 across today / T-30 (c. 31 May) / T-7 (c. 23 June). Target exit: scale 60% out on approval print (taking the re-rating); retain 40% conditional on REVEAL-2 readout (if positive, hold the franchise trade; if negative, close on post-PDUFA +5 trading days).</w:t>
      </w:r>
    </w:p>
    <w:p>
      <w:pPr>
        <w:spacing w:line="276" w:lineRule="auto"/>
        <w:jc w:val="both"/>
      </w:pPr>
      <w:r>
        <w:rPr>
          <w:rFonts w:ascii="Calibri" w:hAnsi="Calibri"/>
          <w:b/>
          <w:i w:val="0"/>
          <w:sz w:val="22"/>
        </w:rPr>
        <w:t>The hedged trade — long equity plus OTM puts.</w:t>
      </w:r>
    </w:p>
    <w:p>
      <w:pPr>
        <w:spacing w:line="276" w:lineRule="auto"/>
        <w:jc w:val="both"/>
      </w:pPr>
      <w:r>
        <w:rPr>
          <w:rFonts w:ascii="Calibri" w:hAnsi="Calibri"/>
          <w:b w:val="0"/>
          <w:i w:val="0"/>
          <w:sz w:val="22"/>
        </w:rPr>
        <w:t>Long equity at 1% of risk budget; overlay July-2026 $10–12 strike OTM puts sized to 60% of equity notional. This is the preferred expression given the wider bear-case tail. Costs ~2–3% of equity value at current IV, pays for ~70% of the CRL downside. Efficient entry window: T-30 to T-14, which coincides with early–mid June.</w:t>
      </w:r>
    </w:p>
    <w:p>
      <w:pPr>
        <w:spacing w:line="276" w:lineRule="auto"/>
        <w:jc w:val="both"/>
      </w:pPr>
      <w:r>
        <w:rPr>
          <w:rFonts w:ascii="Calibri" w:hAnsi="Calibri"/>
          <w:b/>
          <w:i w:val="0"/>
          <w:sz w:val="22"/>
        </w:rPr>
        <w:t>The options-only trade — call spread.</w:t>
      </w:r>
    </w:p>
    <w:p>
      <w:pPr>
        <w:spacing w:line="276" w:lineRule="auto"/>
        <w:jc w:val="both"/>
      </w:pPr>
      <w:r>
        <w:rPr>
          <w:rFonts w:ascii="Calibri" w:hAnsi="Calibri"/>
          <w:b w:val="0"/>
          <w:i w:val="0"/>
          <w:sz w:val="22"/>
        </w:rPr>
        <w:t>July 2026 $17.50/$25 call spread, long lower strike, short upper strike. Maximum loss is the debit paid (approximately $2–3 at current IV); maximum gain $7.50 minus debit. Captures the base case and most of the bull case. The approval-to-$20+ rally is compressed into a defined-risk structure. Appropriate for any account that cannot tolerate the CRL left-tail on naked long equity.</w:t>
      </w:r>
    </w:p>
    <w:p>
      <w:pPr>
        <w:spacing w:line="276" w:lineRule="auto"/>
        <w:jc w:val="both"/>
      </w:pPr>
      <w:r>
        <w:rPr>
          <w:rFonts w:ascii="Calibri" w:hAnsi="Calibri"/>
          <w:b/>
          <w:i w:val="0"/>
          <w:sz w:val="22"/>
        </w:rPr>
        <w:t>What to avoid:</w:t>
      </w:r>
    </w:p>
    <w:p>
      <w:pPr>
        <w:pStyle w:val="ListBullet"/>
        <w:spacing w:line="276" w:lineRule="auto"/>
        <w:jc w:val="both"/>
      </w:pPr>
      <w:r>
        <w:rPr>
          <w:rFonts w:ascii="Calibri" w:hAnsi="Calibri"/>
          <w:sz w:val="22"/>
        </w:rPr>
        <w:t>Naked long calls. IV is already elevated; theta burn dominates in non-bull scenarios.</w:t>
      </w:r>
    </w:p>
    <w:p>
      <w:pPr>
        <w:pStyle w:val="ListBullet"/>
        <w:spacing w:line="276" w:lineRule="auto"/>
        <w:jc w:val="both"/>
      </w:pPr>
      <w:r>
        <w:rPr>
          <w:rFonts w:ascii="Calibri" w:hAnsi="Calibri"/>
          <w:sz w:val="22"/>
        </w:rPr>
        <w:t>Short puts. Collect small premium; take full CRL left-tail. Worst risk/reward.</w:t>
      </w:r>
    </w:p>
    <w:p>
      <w:pPr>
        <w:pStyle w:val="ListBullet"/>
        <w:spacing w:line="276" w:lineRule="auto"/>
        <w:jc w:val="both"/>
      </w:pPr>
      <w:r>
        <w:rPr>
          <w:rFonts w:ascii="Calibri" w:hAnsi="Calibri"/>
          <w:sz w:val="22"/>
        </w:rPr>
        <w:t>Pair long VRDN / short AMGN. AMGN is a diversified large-cap; the beta overlap is too low to produce a clean pair.</w:t>
      </w:r>
    </w:p>
    <w:p>
      <w:pPr>
        <w:pStyle w:val="ListBullet"/>
        <w:spacing w:line="276" w:lineRule="auto"/>
        <w:jc w:val="both"/>
      </w:pPr>
      <w:r>
        <w:rPr>
          <w:rFonts w:ascii="Calibri" w:hAnsi="Calibri"/>
          <w:sz w:val="22"/>
        </w:rPr>
        <w:t>Oversizing to approach the score-implied level. Watchlist tier explicitly caps size; franchise uncertainty is the discount and the size cap enforces it.</w:t>
      </w:r>
    </w:p>
    <w:p>
      <w:pPr>
        <w:spacing w:line="276" w:lineRule="auto"/>
        <w:jc w:val="both"/>
      </w:pPr>
      <w:r>
        <w:rPr>
          <w:rFonts w:ascii="Calibri" w:hAnsi="Calibri"/>
          <w:b/>
          <w:i w:val="0"/>
          <w:sz w:val="22"/>
        </w:rPr>
        <w:t>Sizing framework:</w:t>
      </w:r>
    </w:p>
    <w:p>
      <w:pPr>
        <w:pStyle w:val="ListBullet"/>
        <w:spacing w:line="276" w:lineRule="auto"/>
        <w:jc w:val="both"/>
      </w:pPr>
      <w:r>
        <w:rPr>
          <w:rFonts w:ascii="Calibri" w:hAnsi="Calibri"/>
          <w:sz w:val="22"/>
        </w:rPr>
        <w:t>Core trade: 1.5–3% of risk budget (vs 3–6% for core-conviction names). This is explicit franchise-uncertainty discipline.</w:t>
      </w:r>
    </w:p>
    <w:p>
      <w:pPr>
        <w:pStyle w:val="ListBullet"/>
        <w:spacing w:line="276" w:lineRule="auto"/>
        <w:jc w:val="both"/>
      </w:pPr>
      <w:r>
        <w:rPr>
          <w:rFonts w:ascii="Calibri" w:hAnsi="Calibri"/>
          <w:sz w:val="22"/>
        </w:rPr>
        <w:t>Hedged trade (preferred): 1% equity + put overlay at 60% equity notional.</w:t>
      </w:r>
    </w:p>
    <w:p>
      <w:pPr>
        <w:pStyle w:val="ListBullet"/>
        <w:spacing w:line="276" w:lineRule="auto"/>
        <w:jc w:val="both"/>
      </w:pPr>
      <w:r>
        <w:rPr>
          <w:rFonts w:ascii="Calibri" w:hAnsi="Calibri"/>
          <w:sz w:val="22"/>
        </w:rPr>
        <w:t>Options-only trade: premium-at-risk ≤ 0.75% of risk budget.</w:t>
      </w:r>
    </w:p>
    <w:p>
      <w:pPr>
        <w:pStyle w:val="ListBullet"/>
        <w:spacing w:line="276" w:lineRule="auto"/>
        <w:jc w:val="both"/>
      </w:pPr>
      <w:r>
        <w:rPr>
          <w:rFonts w:ascii="Calibri" w:hAnsi="Calibri"/>
          <w:sz w:val="22"/>
        </w:rPr>
        <w:t>Combined maximum single-name exposure: 4% of risk budget.</w:t>
      </w:r>
    </w:p>
    <w:p>
      <w:pPr>
        <w:pStyle w:val="ListBullet"/>
        <w:spacing w:line="276" w:lineRule="auto"/>
        <w:jc w:val="both"/>
      </w:pPr>
      <w:r>
        <w:rPr>
          <w:rFonts w:ascii="Calibri" w:hAnsi="Calibri"/>
          <w:sz w:val="22"/>
        </w:rPr>
        <w:t>Correlation adjustment: if already holding AXSM long into 30 April PDUFA + VERA long into 7 July PDUFA, reduce VRDN size by 25–30% to manage biotech-binary concentration.</w:t>
      </w:r>
    </w:p>
    <w:p>
      <w:pPr>
        <w:spacing w:before="240" w:after="80" w:line="276" w:lineRule="auto"/>
      </w:pPr>
      <w:r>
        <w:rPr>
          <w:rFonts w:ascii="Calibri" w:hAnsi="Calibri"/>
          <w:b/>
          <w:sz w:val="36"/>
        </w:rPr>
        <w:t>A.10  Catalyst Calendar</w:t>
      </w:r>
    </w:p>
    <w:tbl>
      <w:tblPr>
        <w:tblStyle w:val="TableGrid"/>
        <w:tblW w:type="auto" w:w="0"/>
        <w:tblLook w:firstColumn="1" w:firstRow="1" w:lastColumn="0" w:lastRow="0" w:noHBand="0" w:noVBand="1" w:val="04A0"/>
      </w:tblPr>
      <w:tblGrid>
        <w:gridCol w:w="3120"/>
        <w:gridCol w:w="3120"/>
        <w:gridCol w:w="3120"/>
      </w:tblGrid>
      <w:tr>
        <w:tc>
          <w:tcPr>
            <w:tcW w:type="dxa" w:w="2016"/>
            <w:shd w:val="clear" w:color="auto" w:fill="D9D9D9"/>
          </w:tcPr>
          <w:p>
            <w:r/>
            <w:r>
              <w:rPr>
                <w:rFonts w:ascii="Calibri" w:hAnsi="Calibri"/>
                <w:b/>
                <w:sz w:val="20"/>
              </w:rPr>
              <w:t>Date</w:t>
            </w:r>
          </w:p>
        </w:tc>
        <w:tc>
          <w:tcPr>
            <w:tcW w:type="dxa" w:w="3168"/>
            <w:shd w:val="clear" w:color="auto" w:fill="D9D9D9"/>
          </w:tcPr>
          <w:p>
            <w:r/>
            <w:r>
              <w:rPr>
                <w:rFonts w:ascii="Calibri" w:hAnsi="Calibri"/>
                <w:b/>
                <w:sz w:val="20"/>
              </w:rPr>
              <w:t>Event</w:t>
            </w:r>
          </w:p>
        </w:tc>
        <w:tc>
          <w:tcPr>
            <w:tcW w:type="dxa" w:w="4320"/>
            <w:shd w:val="clear" w:color="auto" w:fill="D9D9D9"/>
          </w:tcPr>
          <w:p>
            <w:r/>
            <w:r>
              <w:rPr>
                <w:rFonts w:ascii="Calibri" w:hAnsi="Calibri"/>
                <w:b/>
                <w:sz w:val="20"/>
              </w:rPr>
              <w:t>What to watch</w:t>
            </w:r>
          </w:p>
        </w:tc>
      </w:tr>
      <w:tr>
        <w:tc>
          <w:tcPr>
            <w:tcW w:type="dxa" w:w="2016"/>
          </w:tcPr>
          <w:p>
            <w:r/>
            <w:r>
              <w:rPr>
                <w:rFonts w:ascii="Calibri" w:hAnsi="Calibri"/>
                <w:sz w:val="20"/>
              </w:rPr>
              <w:t>14 Apr 2026 (today)</w:t>
            </w:r>
          </w:p>
        </w:tc>
        <w:tc>
          <w:tcPr>
            <w:tcW w:type="dxa" w:w="3168"/>
          </w:tcPr>
          <w:p>
            <w:r/>
            <w:r>
              <w:rPr>
                <w:rFonts w:ascii="Calibri" w:hAnsi="Calibri"/>
                <w:sz w:val="20"/>
              </w:rPr>
              <w:t>Thesis initiation; initial 50% entry</w:t>
            </w:r>
          </w:p>
        </w:tc>
        <w:tc>
          <w:tcPr>
            <w:tcW w:type="dxa" w:w="4320"/>
          </w:tcPr>
          <w:p>
            <w:r/>
            <w:r>
              <w:rPr>
                <w:rFonts w:ascii="Calibri" w:hAnsi="Calibri"/>
                <w:sz w:val="20"/>
              </w:rPr>
              <w:t>Tape absorption below $16; any hidden selling pressure</w:t>
            </w:r>
          </w:p>
        </w:tc>
      </w:tr>
      <w:tr>
        <w:tc>
          <w:tcPr>
            <w:tcW w:type="dxa" w:w="2016"/>
          </w:tcPr>
          <w:p>
            <w:r/>
            <w:r>
              <w:rPr>
                <w:rFonts w:ascii="Calibri" w:hAnsi="Calibri"/>
                <w:sz w:val="20"/>
              </w:rPr>
              <w:t>Late Apr 2026</w:t>
            </w:r>
          </w:p>
        </w:tc>
        <w:tc>
          <w:tcPr>
            <w:tcW w:type="dxa" w:w="3168"/>
          </w:tcPr>
          <w:p>
            <w:r/>
            <w:r>
              <w:rPr>
                <w:rFonts w:ascii="Calibri" w:hAnsi="Calibri"/>
                <w:sz w:val="20"/>
              </w:rPr>
              <w:t>Amgen Q1 2026 earnings (tentative)</w:t>
            </w:r>
          </w:p>
        </w:tc>
        <w:tc>
          <w:tcPr>
            <w:tcW w:type="dxa" w:w="4320"/>
          </w:tcPr>
          <w:p>
            <w:r/>
            <w:r>
              <w:rPr>
                <w:rFonts w:ascii="Calibri" w:hAnsi="Calibri"/>
                <w:sz w:val="20"/>
              </w:rPr>
              <w:t>SC Tepezza commercial launch timeline; any sBLA color</w:t>
            </w:r>
          </w:p>
        </w:tc>
      </w:tr>
      <w:tr>
        <w:tc>
          <w:tcPr>
            <w:tcW w:type="dxa" w:w="2016"/>
          </w:tcPr>
          <w:p>
            <w:r/>
            <w:r>
              <w:rPr>
                <w:rFonts w:ascii="Calibri" w:hAnsi="Calibri"/>
                <w:sz w:val="20"/>
              </w:rPr>
              <w:t>30 Apr 2026</w:t>
            </w:r>
          </w:p>
        </w:tc>
        <w:tc>
          <w:tcPr>
            <w:tcW w:type="dxa" w:w="3168"/>
          </w:tcPr>
          <w:p>
            <w:r/>
            <w:r>
              <w:rPr>
                <w:rFonts w:ascii="Calibri" w:hAnsi="Calibri"/>
                <w:sz w:val="20"/>
              </w:rPr>
              <w:t>AXSM PDUFA (separate candidate)</w:t>
            </w:r>
          </w:p>
        </w:tc>
        <w:tc>
          <w:tcPr>
            <w:tcW w:type="dxa" w:w="4320"/>
          </w:tcPr>
          <w:p>
            <w:r/>
            <w:r>
              <w:rPr>
                <w:rFonts w:ascii="Calibri" w:hAnsi="Calibri"/>
                <w:sz w:val="20"/>
              </w:rPr>
              <w:t>Biotech-sentiment read-through</w:t>
            </w:r>
          </w:p>
        </w:tc>
      </w:tr>
      <w:tr>
        <w:tc>
          <w:tcPr>
            <w:tcW w:type="dxa" w:w="2016"/>
          </w:tcPr>
          <w:p>
            <w:r/>
            <w:r>
              <w:rPr>
                <w:rFonts w:ascii="Calibri" w:hAnsi="Calibri"/>
                <w:sz w:val="20"/>
              </w:rPr>
              <w:t>Early May 2026</w:t>
            </w:r>
          </w:p>
        </w:tc>
        <w:tc>
          <w:tcPr>
            <w:tcW w:type="dxa" w:w="3168"/>
          </w:tcPr>
          <w:p>
            <w:r/>
            <w:r>
              <w:rPr>
                <w:rFonts w:ascii="Calibri" w:hAnsi="Calibri"/>
                <w:sz w:val="20"/>
              </w:rPr>
              <w:t>Viridian Q1 2026 earnings</w:t>
            </w:r>
          </w:p>
        </w:tc>
        <w:tc>
          <w:tcPr>
            <w:tcW w:type="dxa" w:w="4320"/>
          </w:tcPr>
          <w:p>
            <w:r/>
            <w:r>
              <w:rPr>
                <w:rFonts w:ascii="Calibri" w:hAnsi="Calibri"/>
                <w:sz w:val="20"/>
              </w:rPr>
              <w:t>Cash runway, commercial readiness, any FDA interaction color</w:t>
            </w:r>
          </w:p>
        </w:tc>
      </w:tr>
      <w:tr>
        <w:tc>
          <w:tcPr>
            <w:tcW w:type="dxa" w:w="2016"/>
          </w:tcPr>
          <w:p>
            <w:r/>
            <w:r>
              <w:rPr>
                <w:rFonts w:ascii="Calibri" w:hAnsi="Calibri"/>
                <w:sz w:val="20"/>
              </w:rPr>
              <w:t>Q2 2026 (window)</w:t>
            </w:r>
          </w:p>
        </w:tc>
        <w:tc>
          <w:tcPr>
            <w:tcW w:type="dxa" w:w="3168"/>
          </w:tcPr>
          <w:p>
            <w:r/>
            <w:r>
              <w:rPr>
                <w:rFonts w:ascii="Calibri" w:hAnsi="Calibri"/>
                <w:sz w:val="20"/>
              </w:rPr>
              <w:t>REVEAL-2 (elegrobart chronic TED) topline readout</w:t>
            </w:r>
          </w:p>
        </w:tc>
        <w:tc>
          <w:tcPr>
            <w:tcW w:type="dxa" w:w="4320"/>
          </w:tcPr>
          <w:p>
            <w:r/>
            <w:r>
              <w:rPr>
                <w:rFonts w:ascii="Calibri" w:hAnsi="Calibri"/>
                <w:sz w:val="20"/>
              </w:rPr>
              <w:t>Critical franchise inflection — kill-condition 2. Positive → hold franchise; negative → reduce position 50%</w:t>
            </w:r>
          </w:p>
        </w:tc>
      </w:tr>
      <w:tr>
        <w:tc>
          <w:tcPr>
            <w:tcW w:type="dxa" w:w="2016"/>
          </w:tcPr>
          <w:p>
            <w:r/>
            <w:r>
              <w:rPr>
                <w:rFonts w:ascii="Calibri" w:hAnsi="Calibri"/>
                <w:sz w:val="20"/>
              </w:rPr>
              <w:t>Week of 1 Jun 2026</w:t>
            </w:r>
          </w:p>
        </w:tc>
        <w:tc>
          <w:tcPr>
            <w:tcW w:type="dxa" w:w="3168"/>
          </w:tcPr>
          <w:p>
            <w:r/>
            <w:r>
              <w:rPr>
                <w:rFonts w:ascii="Calibri" w:hAnsi="Calibri"/>
                <w:sz w:val="20"/>
              </w:rPr>
              <w:t>T-minus-30 review milestone; 25% entry leg</w:t>
            </w:r>
          </w:p>
        </w:tc>
        <w:tc>
          <w:tcPr>
            <w:tcW w:type="dxa" w:w="4320"/>
          </w:tcPr>
          <w:p>
            <w:r/>
            <w:r>
              <w:rPr>
                <w:rFonts w:ascii="Calibri" w:hAnsi="Calibri"/>
                <w:sz w:val="20"/>
              </w:rPr>
              <w:t>Kill-condition sweep; execute second entry if thesis intact and not &gt; $20</w:t>
            </w:r>
          </w:p>
        </w:tc>
      </w:tr>
      <w:tr>
        <w:tc>
          <w:tcPr>
            <w:tcW w:type="dxa" w:w="2016"/>
          </w:tcPr>
          <w:p>
            <w:r/>
            <w:r>
              <w:rPr>
                <w:rFonts w:ascii="Calibri" w:hAnsi="Calibri"/>
                <w:sz w:val="20"/>
              </w:rPr>
              <w:t>Mid Jun 2026</w:t>
            </w:r>
          </w:p>
        </w:tc>
        <w:tc>
          <w:tcPr>
            <w:tcW w:type="dxa" w:w="3168"/>
          </w:tcPr>
          <w:p>
            <w:r/>
            <w:r>
              <w:rPr>
                <w:rFonts w:ascii="Calibri" w:hAnsi="Calibri"/>
                <w:sz w:val="20"/>
              </w:rPr>
              <w:t>Start daily kill-sweep (T-21)</w:t>
            </w:r>
          </w:p>
        </w:tc>
        <w:tc>
          <w:tcPr>
            <w:tcW w:type="dxa" w:w="4320"/>
          </w:tcPr>
          <w:p>
            <w:r/>
            <w:r>
              <w:rPr>
                <w:rFonts w:ascii="Calibri" w:hAnsi="Calibri"/>
                <w:sz w:val="20"/>
              </w:rPr>
              <w:t>EDGAR 8-K, FDA comms, competitive readouts</w:t>
            </w:r>
          </w:p>
        </w:tc>
      </w:tr>
      <w:tr>
        <w:tc>
          <w:tcPr>
            <w:tcW w:type="dxa" w:w="2016"/>
          </w:tcPr>
          <w:p>
            <w:r/>
            <w:r>
              <w:rPr>
                <w:rFonts w:ascii="Calibri" w:hAnsi="Calibri"/>
                <w:sz w:val="20"/>
              </w:rPr>
              <w:t>23 Jun 2026</w:t>
            </w:r>
          </w:p>
        </w:tc>
        <w:tc>
          <w:tcPr>
            <w:tcW w:type="dxa" w:w="3168"/>
          </w:tcPr>
          <w:p>
            <w:r/>
            <w:r>
              <w:rPr>
                <w:rFonts w:ascii="Calibri" w:hAnsi="Calibri"/>
                <w:sz w:val="20"/>
              </w:rPr>
              <w:t>T-minus-7; final 25% entry leg</w:t>
            </w:r>
          </w:p>
        </w:tc>
        <w:tc>
          <w:tcPr>
            <w:tcW w:type="dxa" w:w="4320"/>
          </w:tcPr>
          <w:p>
            <w:r/>
            <w:r>
              <w:rPr>
                <w:rFonts w:ascii="Calibri" w:hAnsi="Calibri"/>
                <w:sz w:val="20"/>
              </w:rPr>
              <w:t>Pre-PDUFA tape-read; IV skew final check</w:t>
            </w:r>
          </w:p>
        </w:tc>
      </w:tr>
      <w:tr>
        <w:tc>
          <w:tcPr>
            <w:tcW w:type="dxa" w:w="2016"/>
          </w:tcPr>
          <w:p>
            <w:r/>
            <w:r>
              <w:rPr>
                <w:rFonts w:ascii="Calibri" w:hAnsi="Calibri"/>
                <w:sz w:val="20"/>
              </w:rPr>
              <w:t>30 Jun 2026</w:t>
            </w:r>
          </w:p>
        </w:tc>
        <w:tc>
          <w:tcPr>
            <w:tcW w:type="dxa" w:w="3168"/>
          </w:tcPr>
          <w:p>
            <w:r/>
            <w:r>
              <w:rPr>
                <w:rFonts w:ascii="Calibri" w:hAnsi="Calibri"/>
                <w:sz w:val="20"/>
              </w:rPr>
              <w:t>PDUFA TARGET ACTION DATE</w:t>
            </w:r>
          </w:p>
        </w:tc>
        <w:tc>
          <w:tcPr>
            <w:tcW w:type="dxa" w:w="4320"/>
          </w:tcPr>
          <w:p>
            <w:r/>
            <w:r>
              <w:rPr>
                <w:rFonts w:ascii="Calibri" w:hAnsi="Calibri"/>
                <w:sz w:val="20"/>
              </w:rPr>
              <w:t>Approval → scale 60% out at open; label detail → chronic-TED indication read; CRL → immediate full exit</w:t>
            </w:r>
          </w:p>
        </w:tc>
      </w:tr>
      <w:tr>
        <w:tc>
          <w:tcPr>
            <w:tcW w:type="dxa" w:w="2016"/>
          </w:tcPr>
          <w:p>
            <w:r/>
            <w:r>
              <w:rPr>
                <w:rFonts w:ascii="Calibri" w:hAnsi="Calibri"/>
                <w:sz w:val="20"/>
              </w:rPr>
              <w:t>Early Jul 2026</w:t>
            </w:r>
          </w:p>
        </w:tc>
        <w:tc>
          <w:tcPr>
            <w:tcW w:type="dxa" w:w="3168"/>
          </w:tcPr>
          <w:p>
            <w:r/>
            <w:r>
              <w:rPr>
                <w:rFonts w:ascii="Calibri" w:hAnsi="Calibri"/>
                <w:sz w:val="20"/>
              </w:rPr>
              <w:t>Post-PDUFA label / launch economics calls</w:t>
            </w:r>
          </w:p>
        </w:tc>
        <w:tc>
          <w:tcPr>
            <w:tcW w:type="dxa" w:w="4320"/>
          </w:tcPr>
          <w:p>
            <w:r/>
            <w:r>
              <w:rPr>
                <w:rFonts w:ascii="Calibri" w:hAnsi="Calibri"/>
                <w:sz w:val="20"/>
              </w:rPr>
              <w:t>First specialty-pharmacy channel commentary; net pricing announcement</w:t>
            </w:r>
          </w:p>
        </w:tc>
      </w:tr>
      <w:tr>
        <w:tc>
          <w:tcPr>
            <w:tcW w:type="dxa" w:w="2016"/>
          </w:tcPr>
          <w:p>
            <w:r/>
            <w:r>
              <w:rPr>
                <w:rFonts w:ascii="Calibri" w:hAnsi="Calibri"/>
                <w:sz w:val="20"/>
              </w:rPr>
              <w:t>Aug 2026 (est)</w:t>
            </w:r>
          </w:p>
        </w:tc>
        <w:tc>
          <w:tcPr>
            <w:tcW w:type="dxa" w:w="3168"/>
          </w:tcPr>
          <w:p>
            <w:r/>
            <w:r>
              <w:rPr>
                <w:rFonts w:ascii="Calibri" w:hAnsi="Calibri"/>
                <w:sz w:val="20"/>
              </w:rPr>
              <w:t>Q2 2026 earnings window</w:t>
            </w:r>
          </w:p>
        </w:tc>
        <w:tc>
          <w:tcPr>
            <w:tcW w:type="dxa" w:w="4320"/>
          </w:tcPr>
          <w:p>
            <w:r/>
            <w:r>
              <w:rPr>
                <w:rFonts w:ascii="Calibri" w:hAnsi="Calibri"/>
                <w:sz w:val="20"/>
              </w:rPr>
              <w:t>Early commercial uptake read; any sales-force ramp commentary</w:t>
            </w:r>
          </w:p>
        </w:tc>
      </w:tr>
      <w:tr>
        <w:tc>
          <w:tcPr>
            <w:tcW w:type="dxa" w:w="2016"/>
          </w:tcPr>
          <w:p>
            <w:r/>
            <w:r>
              <w:rPr>
                <w:rFonts w:ascii="Calibri" w:hAnsi="Calibri"/>
                <w:sz w:val="20"/>
              </w:rPr>
              <w:t>Late 2026 (est)</w:t>
            </w:r>
          </w:p>
        </w:tc>
        <w:tc>
          <w:tcPr>
            <w:tcW w:type="dxa" w:w="3168"/>
          </w:tcPr>
          <w:p>
            <w:r/>
            <w:r>
              <w:rPr>
                <w:rFonts w:ascii="Calibri" w:hAnsi="Calibri"/>
                <w:sz w:val="20"/>
              </w:rPr>
              <w:t>Amgen SC Tepezza sBLA action date</w:t>
            </w:r>
          </w:p>
        </w:tc>
        <w:tc>
          <w:tcPr>
            <w:tcW w:type="dxa" w:w="4320"/>
          </w:tcPr>
          <w:p>
            <w:r/>
            <w:r>
              <w:rPr>
                <w:rFonts w:ascii="Calibri" w:hAnsi="Calibri"/>
                <w:sz w:val="20"/>
              </w:rPr>
              <w:t>Franchise value test — 18–24 month veligrotug exclusivity window begins compressing</w:t>
            </w:r>
          </w:p>
        </w:tc>
      </w:tr>
    </w:tbl>
    <w:p>
      <w:pPr>
        <w:spacing w:before="240" w:after="80" w:line="276" w:lineRule="auto"/>
      </w:pPr>
      <w:r>
        <w:rPr>
          <w:rFonts w:ascii="Calibri" w:hAnsi="Calibri"/>
          <w:b/>
          <w:sz w:val="36"/>
        </w:rPr>
        <w:t>A.11  Verdict</w:t>
      </w:r>
    </w:p>
    <w:tbl>
      <w:tblPr>
        <w:tblStyle w:val="TableGrid"/>
        <w:tblW w:type="auto" w:w="0"/>
        <w:tblLook w:firstColumn="1" w:firstRow="1" w:lastColumn="0" w:lastRow="0" w:noHBand="0" w:noVBand="1" w:val="04A0"/>
      </w:tblPr>
      <w:tblGrid>
        <w:gridCol w:w="9360"/>
      </w:tblGrid>
      <w:tr>
        <w:tc>
          <w:tcPr>
            <w:tcW w:type="dxa" w:w="9360"/>
            <w:shd w:val="clear" w:color="auto" w:fill="F2F2F2"/>
          </w:tcPr>
          <w:p>
            <w:r/>
            <w:r>
              <w:rPr>
                <w:rFonts w:ascii="Calibri" w:hAnsi="Calibri"/>
                <w:b/>
                <w:sz w:val="22"/>
              </w:rPr>
              <w:t>VRDN — Hold / Modest Buy, event-driven dislocation. Score 26.0 / 42.5. T-minus 77 calendar days to PDUFA 30 June 2026.</w:t>
            </w:r>
          </w:p>
          <w:p>
            <w:pPr>
              <w:jc w:val="both"/>
            </w:pPr>
            <w:r>
              <w:rPr>
                <w:rFonts w:ascii="Calibri" w:hAnsi="Calibri"/>
                <w:sz w:val="22"/>
              </w:rPr>
              <w:t>Viridian Therapeutics has a clean Phase 3 program, Priority Review + Breakthrough Therapy Designation, and a ~85–90% probability of approval on or before the 30 June PDUFA. The severe dislocation from $34 to $14 is driven almost entirely by franchise-value concerns on the long-dated elegrobart SC asset — concerns that do not materially affect the near-dated veligrotug approval outcome. The thesis is a sized-down event-driven trade: position long into the PDUFA with explicit kill-condition discipline, cap exposure at watchlist tier, and use hedged or options-only expression where capital efficiency matters. The probability-weighted expected return from current spot is +35% to +55% with a materially wider tail than VERA — which is precisely why size discipline matters more here.</w:t>
            </w:r>
          </w:p>
        </w:tc>
      </w:tr>
    </w:tbl>
    <w:p>
      <w:pPr>
        <w:spacing w:line="276" w:lineRule="auto"/>
        <w:jc w:val="both"/>
      </w:pPr>
      <w:r>
        <w:rPr>
          <w:rFonts w:ascii="Calibri" w:hAnsi="Calibri"/>
          <w:b/>
          <w:i w:val="0"/>
          <w:sz w:val="22"/>
        </w:rPr>
        <w:t>What this thesis does NOT claim:</w:t>
      </w:r>
    </w:p>
    <w:p>
      <w:pPr>
        <w:pStyle w:val="ListBullet"/>
        <w:spacing w:line="276" w:lineRule="auto"/>
        <w:jc w:val="both"/>
      </w:pPr>
      <w:r>
        <w:rPr>
          <w:rFonts w:ascii="Calibri" w:hAnsi="Calibri"/>
          <w:sz w:val="22"/>
        </w:rPr>
        <w:t>It does not claim the long-dated SC franchise is valuable — that depends entirely on REVEAL-2 and Amgen SC Tepezza's ultimate launch success; neither is currently knowable.</w:t>
      </w:r>
    </w:p>
    <w:p>
      <w:pPr>
        <w:pStyle w:val="ListBullet"/>
        <w:spacing w:line="276" w:lineRule="auto"/>
        <w:jc w:val="both"/>
      </w:pPr>
      <w:r>
        <w:rPr>
          <w:rFonts w:ascii="Calibri" w:hAnsi="Calibri"/>
          <w:sz w:val="22"/>
        </w:rPr>
        <w:t>It does not claim VRDN is a buy outside the event window — sizing, entry, and exit are specifically catalyst-driven.</w:t>
      </w:r>
    </w:p>
    <w:p>
      <w:pPr>
        <w:pStyle w:val="ListBullet"/>
        <w:spacing w:line="276" w:lineRule="auto"/>
        <w:jc w:val="both"/>
      </w:pPr>
      <w:r>
        <w:rPr>
          <w:rFonts w:ascii="Calibri" w:hAnsi="Calibri"/>
          <w:sz w:val="22"/>
        </w:rPr>
        <w:t>It does not claim the 26.0 internal score is a probability.</w:t>
      </w:r>
    </w:p>
    <w:p>
      <w:pPr>
        <w:pStyle w:val="ListBullet"/>
        <w:spacing w:line="276" w:lineRule="auto"/>
        <w:jc w:val="both"/>
      </w:pPr>
      <w:r>
        <w:rPr>
          <w:rFonts w:ascii="Calibri" w:hAnsi="Calibri"/>
          <w:sz w:val="22"/>
        </w:rPr>
        <w:t>It does not claim Amgen SC Tepezza's 77% data is immaterial — it is materially negative for the long-dated franchise; it is only neutral for the 2026 veligrotug approval.</w:t>
      </w:r>
    </w:p>
    <w:p>
      <w:pPr>
        <w:pStyle w:val="ListBullet"/>
        <w:spacing w:line="276" w:lineRule="auto"/>
        <w:jc w:val="both"/>
      </w:pPr>
      <w:r>
        <w:rPr>
          <w:rFonts w:ascii="Calibri" w:hAnsi="Calibri"/>
          <w:sz w:val="22"/>
        </w:rPr>
        <w:t>It does not claim REVEAL-2 will print positive — the probability-weighting assumes a 25–30% REVEAL-2 failure tail.</w:t>
      </w:r>
    </w:p>
    <w:p>
      <w:pPr>
        <w:spacing w:line="276" w:lineRule="auto"/>
        <w:jc w:val="both"/>
      </w:pPr>
      <w:r>
        <w:rPr>
          <w:rFonts w:ascii="Calibri" w:hAnsi="Calibri"/>
          <w:b/>
          <w:i w:val="0"/>
          <w:sz w:val="22"/>
        </w:rPr>
        <w:t>What this thesis DOES claim:</w:t>
      </w:r>
    </w:p>
    <w:p>
      <w:pPr>
        <w:pStyle w:val="ListBullet"/>
        <w:spacing w:line="276" w:lineRule="auto"/>
        <w:jc w:val="both"/>
      </w:pPr>
      <w:r>
        <w:rPr>
          <w:rFonts w:ascii="Calibri" w:hAnsi="Calibri"/>
          <w:sz w:val="22"/>
        </w:rPr>
        <w:t>Veligrotug approval probability on or before 30 June 2026 is materially above the typical Priority-Review BLA base rate, at approximately 85–90%.</w:t>
      </w:r>
    </w:p>
    <w:p>
      <w:pPr>
        <w:pStyle w:val="ListBullet"/>
        <w:spacing w:line="276" w:lineRule="auto"/>
        <w:jc w:val="both"/>
      </w:pPr>
      <w:r>
        <w:rPr>
          <w:rFonts w:ascii="Calibri" w:hAnsi="Calibri"/>
          <w:sz w:val="22"/>
        </w:rPr>
        <w:t>The market has conflated franchise-value re-pricing (long-dated, elegrobart-driven) with veligrotug approval outcome (near-dated, regulatory).</w:t>
      </w:r>
    </w:p>
    <w:p>
      <w:pPr>
        <w:pStyle w:val="ListBullet"/>
        <w:spacing w:line="276" w:lineRule="auto"/>
        <w:jc w:val="both"/>
      </w:pPr>
      <w:r>
        <w:rPr>
          <w:rFonts w:ascii="Calibri" w:hAnsi="Calibri"/>
          <w:sz w:val="22"/>
        </w:rPr>
        <w:t>Veligrotug differentiates from Tepezza IV on dosing (5 vs 8 infusions), label (chronic-TED), and safety (hearing impairment at ~5.5% placebo-adjusted vs Tepezza's ~10%).</w:t>
      </w:r>
    </w:p>
    <w:p>
      <w:pPr>
        <w:pStyle w:val="ListBullet"/>
        <w:spacing w:line="276" w:lineRule="auto"/>
        <w:jc w:val="both"/>
      </w:pPr>
      <w:r>
        <w:rPr>
          <w:rFonts w:ascii="Calibri" w:hAnsi="Calibri"/>
          <w:sz w:val="22"/>
        </w:rPr>
        <w:t>The dislocation to ~$14 prices a CRL probability inconsistent with the observable regulatory signal stack.</w:t>
      </w:r>
    </w:p>
    <w:p>
      <w:pPr>
        <w:pStyle w:val="ListBullet"/>
        <w:spacing w:line="276" w:lineRule="auto"/>
        <w:jc w:val="both"/>
      </w:pPr>
      <w:r>
        <w:rPr>
          <w:rFonts w:ascii="Calibri" w:hAnsi="Calibri"/>
          <w:sz w:val="22"/>
        </w:rPr>
        <w:t>The correct expression is a sized-down event trade with explicit downside protection, not a core-conviction long.</w:t>
      </w:r>
    </w:p>
    <w:p>
      <w:pPr>
        <w:spacing w:before="240" w:after="80" w:line="276" w:lineRule="auto"/>
      </w:pPr>
      <w:r>
        <w:rPr>
          <w:rFonts w:ascii="Calibri" w:hAnsi="Calibri"/>
          <w:b/>
          <w:sz w:val="36"/>
        </w:rPr>
        <w:t>A.12  Sources &amp; Verification</w:t>
      </w:r>
    </w:p>
    <w:p>
      <w:pPr>
        <w:spacing w:line="276" w:lineRule="auto"/>
        <w:jc w:val="both"/>
      </w:pPr>
      <w:r>
        <w:rPr>
          <w:rFonts w:ascii="Calibri" w:hAnsi="Calibri"/>
          <w:b w:val="0"/>
          <w:i w:val="0"/>
          <w:sz w:val="22"/>
        </w:rPr>
        <w:t>Every factual claim in this thesis was re-validated against primary or reputable secondary sources on 14 April 2026. Claim labels: VERIFIED = primary source or SEC/FDA confirmed; INFERRED = reasoned from verified facts; SPECULATED = hypothesis grounded in verified facts but not independently confirmed. Size discipline calibrated to the weakest load-bearing inference.</w:t>
      </w:r>
    </w:p>
    <w:p>
      <w:pPr>
        <w:spacing w:before="200" w:after="60" w:line="276" w:lineRule="auto"/>
      </w:pPr>
      <w:r>
        <w:rPr>
          <w:rFonts w:ascii="Calibri" w:hAnsi="Calibri"/>
          <w:b/>
          <w:sz w:val="24"/>
        </w:rPr>
        <w:t>Clinical / Regulatory</w:t>
      </w:r>
    </w:p>
    <w:p>
      <w:pPr>
        <w:pStyle w:val="ListBullet"/>
        <w:spacing w:line="276" w:lineRule="auto"/>
        <w:jc w:val="both"/>
      </w:pPr>
      <w:r>
        <w:rPr>
          <w:rFonts w:ascii="Calibri" w:hAnsi="Calibri"/>
          <w:sz w:val="20"/>
        </w:rPr>
        <w:t>Viridian — BLA Acceptance and Priority Review announcement, 22 December 2025. https://investors.viridiantherapeutics.com/news/news-details/2025/Viridian-Therapeutics-Announces-BLA-Acceptance-and-Priority-Review-for-Veligrotug-for-the-Treatment-of-Thyroid-Eye-Disease/default.aspx</w:t>
      </w:r>
    </w:p>
    <w:p>
      <w:pPr>
        <w:pStyle w:val="ListBullet"/>
        <w:spacing w:line="276" w:lineRule="auto"/>
        <w:jc w:val="both"/>
      </w:pPr>
      <w:r>
        <w:rPr>
          <w:rFonts w:ascii="Calibri" w:hAnsi="Calibri"/>
          <w:sz w:val="20"/>
        </w:rPr>
        <w:t>Viridian — THRIVE Phase 3 (active TED) topline, 2024. https://investors.viridiantherapeutics.com/news/news-details/2024/Viridian-Therapeutics-Announces-Positive-Topline-Results-from-Veligrotug-VRDN-001-Phase-3-THRIVE-Clinical-Trial-in-Patients-with-Active-Thyroid-Eye-Disease/default.aspx</w:t>
      </w:r>
    </w:p>
    <w:p>
      <w:pPr>
        <w:pStyle w:val="ListBullet"/>
        <w:spacing w:line="276" w:lineRule="auto"/>
        <w:jc w:val="both"/>
      </w:pPr>
      <w:r>
        <w:rPr>
          <w:rFonts w:ascii="Calibri" w:hAnsi="Calibri"/>
          <w:sz w:val="20"/>
        </w:rPr>
        <w:t>Viridian — THRIVE-2 Phase 3 (chronic TED) topline, 2024. https://investors.viridiantherapeutics.com/news/news-details/2024/Viridian-Therapeutics-Announces-Positive-Topline-Results-from-Veligrotug-Phase-3-THRIVE-2-Clinical-Trial-in-Patients-with-Chronic-Thyroid-Eye-Disease/default.aspx</w:t>
      </w:r>
    </w:p>
    <w:p>
      <w:pPr>
        <w:pStyle w:val="ListBullet"/>
        <w:spacing w:line="276" w:lineRule="auto"/>
        <w:jc w:val="both"/>
      </w:pPr>
      <w:r>
        <w:rPr>
          <w:rFonts w:ascii="Calibri" w:hAnsi="Calibri"/>
          <w:sz w:val="20"/>
        </w:rPr>
        <w:t>PMC — THRIVE hearing safety, sub-analysis. https://pmc.ncbi.nlm.nih.gov/articles/PMC12545473/</w:t>
      </w:r>
    </w:p>
    <w:p>
      <w:pPr>
        <w:pStyle w:val="ListBullet"/>
        <w:spacing w:line="276" w:lineRule="auto"/>
        <w:jc w:val="both"/>
      </w:pPr>
      <w:r>
        <w:rPr>
          <w:rFonts w:ascii="Calibri" w:hAnsi="Calibri"/>
          <w:sz w:val="20"/>
        </w:rPr>
        <w:t>PMC — THRIVE-2 safety, sub-analysis. https://pmc.ncbi.nlm.nih.gov/articles/PMC12544769/</w:t>
      </w:r>
    </w:p>
    <w:p>
      <w:pPr>
        <w:pStyle w:val="ListBullet"/>
        <w:spacing w:line="276" w:lineRule="auto"/>
        <w:jc w:val="both"/>
      </w:pPr>
      <w:r>
        <w:rPr>
          <w:rFonts w:ascii="Calibri" w:hAnsi="Calibri"/>
          <w:sz w:val="20"/>
        </w:rPr>
        <w:t>HCPLive — FDA Accepts, Grants Priority Review to Veligrotug BLA for TED. https://www.hcplive.com/view/fda-accepts-grants-priority-review-to-veligrotug-bla-for-thyroid-eye-disease</w:t>
      </w:r>
    </w:p>
    <w:p>
      <w:pPr>
        <w:pStyle w:val="ListBullet"/>
        <w:spacing w:line="276" w:lineRule="auto"/>
        <w:jc w:val="both"/>
      </w:pPr>
      <w:r>
        <w:rPr>
          <w:rFonts w:ascii="Calibri" w:hAnsi="Calibri"/>
          <w:sz w:val="20"/>
        </w:rPr>
        <w:t>Glance (Eyes On Eyecare) — FDA accepts Viridian's veligrotug BLA for TED. https://glance.eyesoneyecare.com/stories/2026-01-05/fda-accepts-viridian-s-veligrotug-bla-for-ted/</w:t>
      </w:r>
    </w:p>
    <w:p>
      <w:pPr>
        <w:pStyle w:val="ListBullet"/>
        <w:spacing w:line="276" w:lineRule="auto"/>
        <w:jc w:val="both"/>
      </w:pPr>
      <w:r>
        <w:rPr>
          <w:rFonts w:ascii="Calibri" w:hAnsi="Calibri"/>
          <w:sz w:val="20"/>
        </w:rPr>
        <w:t>Viridian — 2026 Outlook / Prepares for Transformational 2026. https://investors.viridiantherapeutics.com/news/news-details/2026/Viridian-Therapeutics-Prepares-for-Transformational-2026/default.aspx</w:t>
      </w:r>
    </w:p>
    <w:p>
      <w:pPr>
        <w:pStyle w:val="ListBullet"/>
        <w:spacing w:line="276" w:lineRule="auto"/>
        <w:jc w:val="both"/>
      </w:pPr>
      <w:r>
        <w:rPr>
          <w:rFonts w:ascii="Calibri" w:hAnsi="Calibri"/>
          <w:sz w:val="20"/>
        </w:rPr>
        <w:t>Viridian — Elegrobart Phase 3 REVEAL-1 topline, 30 March 2026. https://www.businesswire.com/news/home/20260330779172/en/Viridian-Therapeutics-Announces-Positive-Topline-Results-from-Elegrobart-Phase-3-REVEAL1-Clinical-Trial-in-Active-Thyroid-Eye-Disease</w:t>
      </w:r>
    </w:p>
    <w:p>
      <w:pPr>
        <w:spacing w:before="200" w:after="60" w:line="276" w:lineRule="auto"/>
      </w:pPr>
      <w:r>
        <w:rPr>
          <w:rFonts w:ascii="Calibri" w:hAnsi="Calibri"/>
          <w:b/>
          <w:sz w:val="24"/>
        </w:rPr>
        <w:t>Competitive Landscape</w:t>
      </w:r>
    </w:p>
    <w:p>
      <w:pPr>
        <w:pStyle w:val="ListBullet"/>
        <w:spacing w:line="276" w:lineRule="auto"/>
        <w:jc w:val="both"/>
      </w:pPr>
      <w:r>
        <w:rPr>
          <w:rFonts w:ascii="Calibri" w:hAnsi="Calibri"/>
          <w:sz w:val="20"/>
        </w:rPr>
        <w:t>Amgen — SC Tepezza Phase 3 pivotal data, 6 April 2026. https://www.amgen.com/newsroom/press-releases/2026/04/amgen-announces-positive-topline-phase-3-results-for-subcutaneous-tepezza-in-adults-living-with-moderate-to-severe-active-thyroid-eye-disease</w:t>
      </w:r>
    </w:p>
    <w:p>
      <w:pPr>
        <w:pStyle w:val="ListBullet"/>
        <w:spacing w:line="276" w:lineRule="auto"/>
        <w:jc w:val="both"/>
      </w:pPr>
      <w:r>
        <w:rPr>
          <w:rFonts w:ascii="Calibri" w:hAnsi="Calibri"/>
          <w:sz w:val="20"/>
        </w:rPr>
        <w:t>FiercePharma — Amgen scores with trial of on-body injected version of Tepezza in TED. https://www.fiercepharma.com/pharma/amgen-scores-trial-body-injected-version-tepezza</w:t>
      </w:r>
    </w:p>
    <w:p>
      <w:pPr>
        <w:pStyle w:val="ListBullet"/>
        <w:spacing w:line="276" w:lineRule="auto"/>
        <w:jc w:val="both"/>
      </w:pPr>
      <w:r>
        <w:rPr>
          <w:rFonts w:ascii="Calibri" w:hAnsi="Calibri"/>
          <w:sz w:val="20"/>
        </w:rPr>
        <w:t>FinancialContent — Amgen's Subcutaneous TEPEZZA Data Sets New Gold Standard for Thyroid Eye Disease Treatment. https://markets.financialcontent.com/stocks/article/marketminute-2026-4-13-amgens-subcutaneous-tepezza-data-sets-new-gold-standard-for-thyroid-eye-disease-treatment</w:t>
      </w:r>
    </w:p>
    <w:p>
      <w:pPr>
        <w:pStyle w:val="ListBullet"/>
        <w:spacing w:line="276" w:lineRule="auto"/>
        <w:jc w:val="both"/>
      </w:pPr>
      <w:r>
        <w:rPr>
          <w:rFonts w:ascii="Calibri" w:hAnsi="Calibri"/>
          <w:sz w:val="20"/>
        </w:rPr>
        <w:t>Pharmaphorum — Viridian takes aim at Amgen's Tepezza with veligrotug data. https://pharmaphorum.com/news/viridian-takes-aim-amgens-tepezza-veligrotug-data</w:t>
      </w:r>
    </w:p>
    <w:p>
      <w:pPr>
        <w:pStyle w:val="ListBullet"/>
        <w:spacing w:line="276" w:lineRule="auto"/>
        <w:jc w:val="both"/>
      </w:pPr>
      <w:r>
        <w:rPr>
          <w:rFonts w:ascii="Calibri" w:hAnsi="Calibri"/>
          <w:sz w:val="20"/>
        </w:rPr>
        <w:t>SeekingAlpha — Viridian: Why Elegrobart Phase 3 Results Fail To Challenge Amgen. https://seekingalpha.com/article/4889242-viridian-therapeutics-why-elegrobart-phase-3-results-fail-to-challenge-amgen</w:t>
      </w:r>
    </w:p>
    <w:p>
      <w:pPr>
        <w:pStyle w:val="ListBullet"/>
        <w:spacing w:line="276" w:lineRule="auto"/>
        <w:jc w:val="both"/>
      </w:pPr>
      <w:r>
        <w:rPr>
          <w:rFonts w:ascii="Calibri" w:hAnsi="Calibri"/>
          <w:sz w:val="20"/>
        </w:rPr>
        <w:t>SeekingAlpha — Amgen's Thyroid Eye Disease Data Rocks Rival Viridian. https://seekingalpha.com/article/4888959-amgen-thyroid-eye-disease-data-rocks-rival-viridian-makes-it-the-better-buy</w:t>
      </w:r>
    </w:p>
    <w:p>
      <w:pPr>
        <w:pStyle w:val="ListBullet"/>
        <w:spacing w:line="276" w:lineRule="auto"/>
        <w:jc w:val="both"/>
      </w:pPr>
      <w:r>
        <w:rPr>
          <w:rFonts w:ascii="Calibri" w:hAnsi="Calibri"/>
          <w:sz w:val="20"/>
        </w:rPr>
        <w:t>GuruFocus — Viridian Therapeutics (VRDN) Shares Drop Amid Competitor's Trial Success. https://www.gurufocus.com/news/8776199/viridian-therapeutics-vrdn-shares-drop-amid-competitors-trial-success</w:t>
      </w:r>
    </w:p>
    <w:p>
      <w:pPr>
        <w:pStyle w:val="ListBullet"/>
        <w:spacing w:line="276" w:lineRule="auto"/>
        <w:jc w:val="both"/>
      </w:pPr>
      <w:r>
        <w:rPr>
          <w:rFonts w:ascii="Calibri" w:hAnsi="Calibri"/>
          <w:sz w:val="20"/>
        </w:rPr>
        <w:t>BeyondSPX — Viridian's Path from Lab to Launch (franchise-valuation context). https://beyondspx.com/quote/VRDN/viridian-s-path-from-lab-to-launch-can-a-better-ted-drug-justify-a-3b-valuation-nasdaq-vrdn</w:t>
      </w:r>
    </w:p>
    <w:p>
      <w:pPr>
        <w:spacing w:before="200" w:after="60" w:line="276" w:lineRule="auto"/>
      </w:pPr>
      <w:r>
        <w:rPr>
          <w:rFonts w:ascii="Calibri" w:hAnsi="Calibri"/>
          <w:b/>
          <w:sz w:val="24"/>
        </w:rPr>
        <w:t>Epidemiology / Market</w:t>
      </w:r>
    </w:p>
    <w:p>
      <w:pPr>
        <w:pStyle w:val="ListBullet"/>
        <w:spacing w:line="276" w:lineRule="auto"/>
        <w:jc w:val="both"/>
      </w:pPr>
      <w:r>
        <w:rPr>
          <w:rFonts w:ascii="Calibri" w:hAnsi="Calibri"/>
          <w:sz w:val="20"/>
        </w:rPr>
        <w:t>Reports and Data — Thyroid Eye Disease Market Size, Share &amp; Growth Trends Analysis by 2034. https://www.reportsanddata.com/report-detail/thyroid-eye-disease-market</w:t>
      </w:r>
    </w:p>
    <w:p>
      <w:pPr>
        <w:pStyle w:val="ListBullet"/>
        <w:spacing w:line="276" w:lineRule="auto"/>
        <w:jc w:val="both"/>
      </w:pPr>
      <w:r>
        <w:rPr>
          <w:rFonts w:ascii="Calibri" w:hAnsi="Calibri"/>
          <w:sz w:val="20"/>
        </w:rPr>
        <w:t>InsightAce Analytic — Thyroid Eye Disease Market Research Report 2026 to 2035. https://www.insightaceanalytic.com/report/thyroid-eye-disease-market/2893</w:t>
      </w:r>
    </w:p>
    <w:p>
      <w:pPr>
        <w:pStyle w:val="ListBullet"/>
        <w:spacing w:line="276" w:lineRule="auto"/>
        <w:jc w:val="both"/>
      </w:pPr>
      <w:r>
        <w:rPr>
          <w:rFonts w:ascii="Calibri" w:hAnsi="Calibri"/>
          <w:sz w:val="20"/>
        </w:rPr>
        <w:t>DelveInsight — TEPEZZA Market Sales Forecast. https://www.delveinsight.com/insights/tepezza-market-sales-forecast</w:t>
      </w:r>
    </w:p>
    <w:p>
      <w:pPr>
        <w:pStyle w:val="ListBullet"/>
        <w:spacing w:line="276" w:lineRule="auto"/>
        <w:jc w:val="both"/>
      </w:pPr>
      <w:r>
        <w:rPr>
          <w:rFonts w:ascii="Calibri" w:hAnsi="Calibri"/>
          <w:sz w:val="20"/>
        </w:rPr>
        <w:t>CoherentMI — Thyroid Eye Disease TED Market Size and Share, 2025-2032. https://www.coherentmi.com/industry-reports/thyroid-eye-disease-ted-market</w:t>
      </w:r>
    </w:p>
    <w:p>
      <w:pPr>
        <w:pStyle w:val="ListBullet"/>
        <w:spacing w:line="276" w:lineRule="auto"/>
        <w:jc w:val="both"/>
      </w:pPr>
      <w:r>
        <w:rPr>
          <w:rFonts w:ascii="Calibri" w:hAnsi="Calibri"/>
          <w:sz w:val="20"/>
        </w:rPr>
        <w:t>Mordor Intelligence — Thyroid Eye Disease Treatment Market Size, Forecast &amp; Share Analysis 2030. https://www.mordorintelligence.com/industry-reports/thyroid-eye-disease-treatment-market</w:t>
      </w:r>
    </w:p>
    <w:p>
      <w:pPr>
        <w:spacing w:before="200" w:after="60" w:line="276" w:lineRule="auto"/>
      </w:pPr>
      <w:r>
        <w:rPr>
          <w:rFonts w:ascii="Calibri" w:hAnsi="Calibri"/>
          <w:b/>
          <w:sz w:val="24"/>
        </w:rPr>
        <w:t>Analyst / Market / Financial</w:t>
      </w:r>
    </w:p>
    <w:p>
      <w:pPr>
        <w:pStyle w:val="ListBullet"/>
        <w:spacing w:line="276" w:lineRule="auto"/>
        <w:jc w:val="both"/>
      </w:pPr>
      <w:r>
        <w:rPr>
          <w:rFonts w:ascii="Calibri" w:hAnsi="Calibri"/>
          <w:sz w:val="20"/>
        </w:rPr>
        <w:t>Public.com — VRDN 12-month forecast (consensus Strong Buy, avg PT ~$41.42, 12 analysts). https://public.com/stocks/vrdn/forecast-price-target</w:t>
      </w:r>
    </w:p>
    <w:p>
      <w:pPr>
        <w:pStyle w:val="ListBullet"/>
        <w:spacing w:line="276" w:lineRule="auto"/>
        <w:jc w:val="both"/>
      </w:pPr>
      <w:r>
        <w:rPr>
          <w:rFonts w:ascii="Calibri" w:hAnsi="Calibri"/>
          <w:sz w:val="20"/>
        </w:rPr>
        <w:t>WallStreetZen — VRDN 1Y PT $37.09. https://www.wallstreetzen.com/stocks/us/nasdaq/vrdn/stock-forecast</w:t>
      </w:r>
    </w:p>
    <w:p>
      <w:pPr>
        <w:pStyle w:val="ListBullet"/>
        <w:spacing w:line="276" w:lineRule="auto"/>
        <w:jc w:val="both"/>
      </w:pPr>
      <w:r>
        <w:rPr>
          <w:rFonts w:ascii="Calibri" w:hAnsi="Calibri"/>
          <w:sz w:val="20"/>
        </w:rPr>
        <w:t>StockAnalysis — VRDN Forecast &amp; Price Targets. https://stockanalysis.com/stocks/vrdn/forecast/</w:t>
      </w:r>
    </w:p>
    <w:p>
      <w:pPr>
        <w:pStyle w:val="ListBullet"/>
        <w:spacing w:line="276" w:lineRule="auto"/>
        <w:jc w:val="both"/>
      </w:pPr>
      <w:r>
        <w:rPr>
          <w:rFonts w:ascii="Calibri" w:hAnsi="Calibri"/>
          <w:sz w:val="20"/>
        </w:rPr>
        <w:t>TipRanks — VRDN Forecast / Analyst Predictions. https://www.tipranks.com/stocks/vrdn/forecast</w:t>
      </w:r>
    </w:p>
    <w:p>
      <w:pPr>
        <w:pStyle w:val="ListBullet"/>
        <w:spacing w:line="276" w:lineRule="auto"/>
        <w:jc w:val="both"/>
      </w:pPr>
      <w:r>
        <w:rPr>
          <w:rFonts w:ascii="Calibri" w:hAnsi="Calibri"/>
          <w:sz w:val="20"/>
        </w:rPr>
        <w:t>TradingView — VRDN Forecast 2026. https://www.tradingview.com/symbols/NASDAQ-VRDN/forecast/</w:t>
      </w:r>
    </w:p>
    <w:p>
      <w:pPr>
        <w:pStyle w:val="ListBullet"/>
        <w:spacing w:line="276" w:lineRule="auto"/>
        <w:jc w:val="both"/>
      </w:pPr>
      <w:r>
        <w:rPr>
          <w:rFonts w:ascii="Calibri" w:hAnsi="Calibri"/>
          <w:sz w:val="20"/>
        </w:rPr>
        <w:t>GuruFocus — VRDN RBC Capital lowers price target. https://www.gurufocus.com/news/8778831/vrdn-rbc-capital-lowers-price-target-on-viridian-therapeutics-vrdn-stock-news</w:t>
      </w:r>
    </w:p>
    <w:p>
      <w:pPr>
        <w:pStyle w:val="ListBullet"/>
        <w:spacing w:line="276" w:lineRule="auto"/>
        <w:jc w:val="both"/>
      </w:pPr>
      <w:r>
        <w:rPr>
          <w:rFonts w:ascii="Calibri" w:hAnsi="Calibri"/>
          <w:sz w:val="20"/>
        </w:rPr>
        <w:t>GuruFocus — VRDN Evercore ISI lowers PT. https://www.gurufocus.com/news/8768229/viridian-therapeutics-vrdn-target-price-lowered-by-evercore-isi-group-vrdn-stock-news</w:t>
      </w:r>
    </w:p>
    <w:p>
      <w:pPr>
        <w:pStyle w:val="ListBullet"/>
        <w:spacing w:line="276" w:lineRule="auto"/>
        <w:jc w:val="both"/>
      </w:pPr>
      <w:r>
        <w:rPr>
          <w:rFonts w:ascii="Calibri" w:hAnsi="Calibri"/>
          <w:sz w:val="20"/>
        </w:rPr>
        <w:t>GuruFocus — VRDN Wedbush maintains rating but lowers PT. https://www.gurufocus.com/news/8781764/vrdn-wedbush-maintains-rating-but-lowers-price-target-vrdn-stock-news</w:t>
      </w:r>
    </w:p>
    <w:p>
      <w:pPr>
        <w:pStyle w:val="ListBullet"/>
        <w:spacing w:line="276" w:lineRule="auto"/>
        <w:jc w:val="both"/>
      </w:pPr>
      <w:r>
        <w:rPr>
          <w:rFonts w:ascii="Calibri" w:hAnsi="Calibri"/>
          <w:sz w:val="20"/>
        </w:rPr>
        <w:t>Yahoo Finance — VRDN valuation after multi-month pullback. https://finance.yahoo.com/markets/stocks/articles/look-viridian-therapeutics-vrdn-valuation-091046515.html</w:t>
      </w:r>
    </w:p>
    <w:p>
      <w:pPr>
        <w:pStyle w:val="ListBullet"/>
        <w:spacing w:line="276" w:lineRule="auto"/>
        <w:jc w:val="both"/>
      </w:pPr>
      <w:r>
        <w:rPr>
          <w:rFonts w:ascii="Calibri" w:hAnsi="Calibri"/>
          <w:sz w:val="20"/>
        </w:rPr>
        <w:t>SeekingAlpha — VRDN symbol and coverage. https://seekingalpha.com/symbol/VRDN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sz w:val="18"/>
      </w:rPr>
      <w:t xml:space="preserve">VRDN Investment Thesis — 14 April 2026 — Investment Discovery System   |   </w:t>
    </w:r>
    <w:r>
      <w:rPr>
        <w:rFonts w:ascii="Calibri" w:hAnsi="Calibri"/>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