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CSCA 5028 Final Project Report</w:t>
      </w:r>
    </w:p>
    <w:p>
      <w:pPr>
        <w:pStyle w:val="Heading2"/>
      </w:pPr>
      <w:r>
        <w:t>Project Title</w:t>
      </w:r>
    </w:p>
    <w:p>
      <w:r>
        <w:t>The '87 Land Cruiser Finder: Collector, Analyzer, and Event-Driven Collaboration</w:t>
      </w:r>
    </w:p>
    <w:p>
      <w:pPr>
        <w:pStyle w:val="Heading2"/>
      </w:pPr>
      <w:r>
        <w:t>1. High-level Description</w:t>
      </w:r>
    </w:p>
    <w:p>
      <w:r>
        <w:t>This project builds a focused data product for 1987 Toyota Land Cruiser buyers and collectors. The system collects listing-related vehicle data from an external API, stores raw records in a shared database, runs analysis to produce summary insights, and exposes a deployed web interface for user interaction.</w:t>
      </w:r>
    </w:p>
    <w:p>
      <w:pPr>
        <w:pStyle w:val="ListNumber"/>
      </w:pPr>
      <w:r>
        <w:t>Web application (user-facing)</w:t>
      </w:r>
    </w:p>
    <w:p>
      <w:pPr>
        <w:pStyle w:val="ListNumber"/>
      </w:pPr>
      <w:r>
        <w:t>Data collector (scheduled API ingestion)</w:t>
      </w:r>
    </w:p>
    <w:p>
      <w:pPr>
        <w:pStyle w:val="ListNumber"/>
      </w:pPr>
      <w:r>
        <w:t>Data analyzer (aggregation and reporting)</w:t>
      </w:r>
    </w:p>
    <w:p>
      <w:pPr>
        <w:pStyle w:val="ListNumber"/>
      </w:pPr>
      <w:r>
        <w:t>Shared persistence layer (raw + refined data backbone)</w:t>
      </w:r>
    </w:p>
    <w:p>
      <w:pPr>
        <w:pStyle w:val="ListNumber"/>
      </w:pPr>
      <w:r>
        <w:t>Event messaging channel (RabbitMQ) for decoupled service collaboration</w:t>
      </w:r>
    </w:p>
    <w:p>
      <w:pPr>
        <w:pStyle w:val="Heading2"/>
      </w:pPr>
      <w:r>
        <w:t>2. Whiteboard Architecture and Process Discussion</w:t>
      </w:r>
    </w:p>
    <w:p>
      <w:r>
        <w:t>User -&gt; Web App (Flask, stateless) -&gt; SQLite/Post-process views</w:t>
        <w:br/>
        <w:t>Collector (NHTSA API pull) -&gt; raw_inventory table -&gt; Analyzer</w:t>
        <w:br/>
        <w:t>Collector -&gt; RabbitMQ (inventory_events) -&gt; Consumer/Downstream services</w:t>
      </w:r>
    </w:p>
    <w:p>
      <w:pPr>
        <w:pStyle w:val="ListNumber"/>
      </w:pPr>
      <w:r>
        <w:t>Collector fetches Toyota model data from NHTSA vPIC and filters Land Cruiser records.</w:t>
      </w:r>
    </w:p>
    <w:p>
      <w:pPr>
        <w:pStyle w:val="ListNumber"/>
      </w:pPr>
      <w:r>
        <w:t>Collector writes raw records into raw_inventory.</w:t>
      </w:r>
    </w:p>
    <w:p>
      <w:pPr>
        <w:pStyle w:val="ListNumber"/>
      </w:pPr>
      <w:r>
        <w:t>Analyzer reads raw records and computes rollups such as per-year counts and averages.</w:t>
      </w:r>
    </w:p>
    <w:p>
      <w:pPr>
        <w:pStyle w:val="ListNumber"/>
      </w:pPr>
      <w:r>
        <w:t>Collector optionally publishes an inventory.collection.completed event to RabbitMQ.</w:t>
      </w:r>
    </w:p>
    <w:p>
      <w:pPr>
        <w:pStyle w:val="ListNumber"/>
      </w:pPr>
      <w:r>
        <w:t>Consumer services subscribe to the queue and react asynchronously.</w:t>
      </w:r>
    </w:p>
    <w:p>
      <w:pPr>
        <w:pStyle w:val="ListNumber"/>
      </w:pPr>
      <w:r>
        <w:t>Web app serves user requests and runs independently from collector/analyzer.</w:t>
      </w:r>
    </w:p>
    <w:p>
      <w:pPr>
        <w:pStyle w:val="Heading2"/>
      </w:pPr>
      <w:r>
        <w:t>3. Design Decisions and Justifications</w:t>
      </w:r>
    </w:p>
    <w:p>
      <w:pPr>
        <w:pStyle w:val="Heading3"/>
      </w:pPr>
      <w:r>
        <w:t>Decision A: Request/Response for external data fetch</w:t>
      </w:r>
    </w:p>
    <w:p>
      <w:r>
        <w:t>The collector uses direct REST calls to NHTSA because collection requires explicit pull semantics and deterministic input windows by year.</w:t>
      </w:r>
    </w:p>
    <w:p>
      <w:pPr>
        <w:pStyle w:val="Heading3"/>
      </w:pPr>
      <w:r>
        <w:t>Decision B: Event Collaboration for cross-service notifications</w:t>
      </w:r>
    </w:p>
    <w:p>
      <w:r>
        <w:t>The system adds RabbitMQ event publication after each collection run. The producer announces facts, the broker buffers, and consumers react independently.</w:t>
      </w:r>
    </w:p>
    <w:p>
      <w:pPr>
        <w:pStyle w:val="ListBullet"/>
      </w:pPr>
      <w:r>
        <w:t>Reduces temporal coupling between collector and downstream actions.</w:t>
      </w:r>
    </w:p>
    <w:p>
      <w:pPr>
        <w:pStyle w:val="ListBullet"/>
      </w:pPr>
      <w:r>
        <w:t>Improves extensibility because new consumers can be added without changing collector logic.</w:t>
      </w:r>
    </w:p>
    <w:p>
      <w:pPr>
        <w:pStyle w:val="ListBullet"/>
      </w:pPr>
      <w:r>
        <w:t>Improves resilience during spikes or temporary consumer downtime.</w:t>
      </w:r>
    </w:p>
    <w:p>
      <w:r>
        <w:t>Trade-offs: eventual consistency and more complex debugging, mitigated by structured payloads and correlation IDs.</w:t>
      </w:r>
    </w:p>
    <w:p>
      <w:pPr>
        <w:pStyle w:val="Heading3"/>
      </w:pPr>
      <w:r>
        <w:t>Decision C: SQLite for current scope</w:t>
      </w:r>
    </w:p>
    <w:p>
      <w:r>
        <w:t>SQLite was selected for a lightweight footprint and fast setup. Schema migrations are versioned for repeatability.</w:t>
      </w:r>
    </w:p>
    <w:p>
      <w:pPr>
        <w:pStyle w:val="Heading3"/>
      </w:pPr>
      <w:r>
        <w:t>Decision D: Stateless web app with health endpoint</w:t>
      </w:r>
    </w:p>
    <w:p>
      <w:r>
        <w:t>The web app is stateless and exposes /health for production monitoring and safe deployment checks.</w:t>
      </w:r>
    </w:p>
    <w:p>
      <w:pPr>
        <w:pStyle w:val="Heading2"/>
      </w:pPr>
      <w:r>
        <w:t>4. System Requirements and Testability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How It Is Tested</w:t>
            </w:r>
          </w:p>
        </w:tc>
        <w:tc>
          <w:tcPr>
            <w:tcW w:type="dxa" w:w="2880"/>
          </w:tcPr>
          <w:p>
            <w:r>
              <w:t>Evidence</w:t>
            </w:r>
          </w:p>
        </w:tc>
      </w:tr>
      <w:tr>
        <w:tc>
          <w:tcPr>
            <w:tcW w:type="dxa" w:w="2880"/>
          </w:tcPr>
          <w:p>
            <w:r>
              <w:t>System fetches external vehicle data</w:t>
            </w:r>
          </w:p>
        </w:tc>
        <w:tc>
          <w:tcPr>
            <w:tcW w:type="dxa" w:w="2880"/>
          </w:tcPr>
          <w:p>
            <w:r>
              <w:t>Run collector and verify fetch counts &gt; 0</w:t>
            </w:r>
          </w:p>
        </w:tc>
        <w:tc>
          <w:tcPr>
            <w:tcW w:type="dxa" w:w="2880"/>
          </w:tcPr>
          <w:p>
            <w:r>
              <w:t>Collector logs</w:t>
            </w:r>
          </w:p>
        </w:tc>
      </w:tr>
      <w:tr>
        <w:tc>
          <w:tcPr>
            <w:tcW w:type="dxa" w:w="2880"/>
          </w:tcPr>
          <w:p>
            <w:r>
              <w:t>Raw data is persisted</w:t>
            </w:r>
          </w:p>
        </w:tc>
        <w:tc>
          <w:tcPr>
            <w:tcW w:type="dxa" w:w="2880"/>
          </w:tcPr>
          <w:p>
            <w:r>
              <w:t>Query raw_inventory after collection run</w:t>
            </w:r>
          </w:p>
        </w:tc>
        <w:tc>
          <w:tcPr>
            <w:tcW w:type="dxa" w:w="2880"/>
          </w:tcPr>
          <w:p>
            <w:r>
              <w:t>DB query output</w:t>
            </w:r>
          </w:p>
        </w:tc>
      </w:tr>
      <w:tr>
        <w:tc>
          <w:tcPr>
            <w:tcW w:type="dxa" w:w="2880"/>
          </w:tcPr>
          <w:p>
            <w:r>
              <w:t>Analysis computes rollups</w:t>
            </w:r>
          </w:p>
        </w:tc>
        <w:tc>
          <w:tcPr>
            <w:tcW w:type="dxa" w:w="2880"/>
          </w:tcPr>
          <w:p>
            <w:r>
              <w:t>Run analyzer and verify summary output</w:t>
            </w:r>
          </w:p>
        </w:tc>
        <w:tc>
          <w:tcPr>
            <w:tcW w:type="dxa" w:w="2880"/>
          </w:tcPr>
          <w:p>
            <w:r>
              <w:t>Analyzer logs</w:t>
            </w:r>
          </w:p>
        </w:tc>
      </w:tr>
      <w:tr>
        <w:tc>
          <w:tcPr>
            <w:tcW w:type="dxa" w:w="2880"/>
          </w:tcPr>
          <w:p>
            <w:r>
              <w:t>Web app accepts input and responds</w:t>
            </w:r>
          </w:p>
        </w:tc>
        <w:tc>
          <w:tcPr>
            <w:tcW w:type="dxa" w:w="2880"/>
          </w:tcPr>
          <w:p>
            <w:r>
              <w:t>Integration test against /echo</w:t>
            </w:r>
          </w:p>
        </w:tc>
        <w:tc>
          <w:tcPr>
            <w:tcW w:type="dxa" w:w="2880"/>
          </w:tcPr>
          <w:p>
            <w:r>
              <w:t>pytest results</w:t>
            </w:r>
          </w:p>
        </w:tc>
      </w:tr>
      <w:tr>
        <w:tc>
          <w:tcPr>
            <w:tcW w:type="dxa" w:w="2880"/>
          </w:tcPr>
          <w:p>
            <w:r>
              <w:t>Web app exposes service health</w:t>
            </w:r>
          </w:p>
        </w:tc>
        <w:tc>
          <w:tcPr>
            <w:tcW w:type="dxa" w:w="2880"/>
          </w:tcPr>
          <w:p>
            <w:r>
              <w:t>GET /health returns HTTP 200 + {"status":"ok"}</w:t>
            </w:r>
          </w:p>
        </w:tc>
        <w:tc>
          <w:tcPr>
            <w:tcW w:type="dxa" w:w="2880"/>
          </w:tcPr>
          <w:p>
            <w:r>
              <w:t>curl and test output</w:t>
            </w:r>
          </w:p>
        </w:tc>
      </w:tr>
      <w:tr>
        <w:tc>
          <w:tcPr>
            <w:tcW w:type="dxa" w:w="2880"/>
          </w:tcPr>
          <w:p>
            <w:r>
              <w:t>Asynchronous collaboration is available</w:t>
            </w:r>
          </w:p>
        </w:tc>
        <w:tc>
          <w:tcPr>
            <w:tcW w:type="dxa" w:w="2880"/>
          </w:tcPr>
          <w:p>
            <w:r>
              <w:t>Enable event publishing and consume queue messages</w:t>
            </w:r>
          </w:p>
        </w:tc>
        <w:tc>
          <w:tcPr>
            <w:tcW w:type="dxa" w:w="2880"/>
          </w:tcPr>
          <w:p>
            <w:r>
              <w:t>Consumer output</w:t>
            </w:r>
          </w:p>
        </w:tc>
      </w:tr>
    </w:tbl>
    <w:p>
      <w:pPr>
        <w:pStyle w:val="Heading2"/>
      </w:pPr>
      <w:r>
        <w:t>5. Deployment and Submission Artifacts</w:t>
      </w:r>
    </w:p>
    <w:p>
      <w:r>
        <w:t>Deployed URL: https://csca5028-echo-mb-final-0313-6f06d76737c3.herokuapp.com/</w:t>
      </w:r>
    </w:p>
    <w:p>
      <w:r>
        <w:t>Report file: CSCA5028_Final_Project_Report.docx</w:t>
      </w:r>
    </w:p>
    <w:p>
      <w:r>
        <w:t>Source code ZIP: csca5028-final-project-source-clean-20260313.zip</w:t>
      </w:r>
    </w:p>
    <w:p>
      <w:pPr>
        <w:pStyle w:val="Heading2"/>
      </w:pPr>
      <w:r>
        <w:t>6. Conclusion</w:t>
      </w:r>
    </w:p>
    <w:p>
      <w:r>
        <w:t>The final system demonstrates separated processes (collector, analyzer, web app), shared persistence, and event collaboration. The architecture balances simplicity with scalable communication patterns for distributed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