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25B" w:rsidRDefault="007C625B" w:rsidP="007C625B">
      <w:pPr>
        <w:pStyle w:val="1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.5 </w:t>
      </w:r>
      <w:r>
        <w:rPr>
          <w:rFonts w:hint="eastAsia"/>
        </w:rPr>
        <w:t>在切线空间和物体空间之间变换</w:t>
      </w:r>
    </w:p>
    <w:p w:rsidR="007C625B" w:rsidRDefault="007C625B" w:rsidP="00AC4DCB">
      <w:pPr>
        <w:ind w:firstLine="420"/>
      </w:pPr>
      <w:r>
        <w:rPr>
          <w:rFonts w:hint="eastAsia"/>
        </w:rPr>
        <w:t>现在，我们在网格的每个顶点上都有一个正交</w:t>
      </w:r>
      <w:r>
        <w:rPr>
          <w:rFonts w:hint="eastAsia"/>
        </w:rPr>
        <w:t>TBN</w:t>
      </w:r>
      <w:r>
        <w:rPr>
          <w:rFonts w:hint="eastAsia"/>
        </w:rPr>
        <w:t>基，而且还有相对于网格物体空间的</w:t>
      </w:r>
      <w:r>
        <w:rPr>
          <w:rFonts w:hint="eastAsia"/>
        </w:rPr>
        <w:t>TBN</w:t>
      </w:r>
      <w:r>
        <w:rPr>
          <w:rFonts w:hint="eastAsia"/>
        </w:rPr>
        <w:t>向量坐标。所以，我们现在可以得到一个相对于物体空间坐标系的</w:t>
      </w:r>
      <w:r>
        <w:rPr>
          <w:rFonts w:hint="eastAsia"/>
        </w:rPr>
        <w:t>TBN</w:t>
      </w:r>
      <w:r>
        <w:rPr>
          <w:rFonts w:hint="eastAsia"/>
        </w:rPr>
        <w:t>矩阵，通过该矩阵我们可以将坐标从切线空间变换到物体空间：</w:t>
      </w:r>
    </w:p>
    <w:p w:rsidR="00AC4DCB" w:rsidRDefault="00AC4DCB" w:rsidP="00AC4DCB">
      <w:pPr>
        <w:jc w:val="center"/>
      </w:pPr>
      <w:r w:rsidRPr="00817520">
        <w:rPr>
          <w:position w:val="-52"/>
        </w:rPr>
        <w:object w:dxaOrig="2439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57.75pt" o:ole="">
            <v:imagedata r:id="rId6" o:title=""/>
          </v:shape>
          <o:OLEObject Type="Embed" ProgID="Equation.DSMT4" ShapeID="_x0000_i1025" DrawAspect="Content" ObjectID="_1470328711" r:id="rId7"/>
        </w:object>
      </w:r>
    </w:p>
    <w:p w:rsidR="007C625B" w:rsidRDefault="007C625B" w:rsidP="00AC4DCB">
      <w:pPr>
        <w:ind w:firstLine="420"/>
      </w:pPr>
      <w:r>
        <w:rPr>
          <w:rFonts w:hint="eastAsia"/>
        </w:rPr>
        <w:t>由于该矩阵是正交矩阵，它的逆矩阵和转置矩阵相同。所以，从物体空间到正切空间的坐标转换矩阵为：</w:t>
      </w:r>
    </w:p>
    <w:p w:rsidR="00AC4DCB" w:rsidRDefault="00AC4DCB" w:rsidP="00AC4DCB">
      <w:pPr>
        <w:jc w:val="center"/>
      </w:pPr>
      <w:r w:rsidRPr="00AC4DCB">
        <w:rPr>
          <w:position w:val="-50"/>
        </w:rPr>
        <w:object w:dxaOrig="4120" w:dyaOrig="1120">
          <v:shape id="_x0000_i1026" type="#_x0000_t75" style="width:206.25pt;height:56.25pt" o:ole="">
            <v:imagedata r:id="rId8" o:title=""/>
          </v:shape>
          <o:OLEObject Type="Embed" ProgID="Equation.DSMT4" ShapeID="_x0000_i1026" DrawAspect="Content" ObjectID="_1470328712" r:id="rId9"/>
        </w:object>
      </w:r>
    </w:p>
    <w:p w:rsidR="007C625B" w:rsidRDefault="007C625B" w:rsidP="00AC4DCB">
      <w:pPr>
        <w:ind w:firstLine="420"/>
      </w:pPr>
      <w:r>
        <w:rPr>
          <w:rFonts w:hint="eastAsia"/>
        </w:rPr>
        <w:t>为了在着色器代码中进行</w:t>
      </w:r>
      <w:r w:rsidR="00AC4DCB">
        <w:rPr>
          <w:rFonts w:hint="eastAsia"/>
        </w:rPr>
        <w:t>光</w:t>
      </w:r>
      <w:r>
        <w:rPr>
          <w:rFonts w:hint="eastAsia"/>
        </w:rPr>
        <w:t>照计算，我们希望将法线向量从正切空间变换到世界空间。一种实现方式是，先将法线向量从正切空间变换到物体空间，然后再从物体空间变换到世界空间：</w:t>
      </w:r>
    </w:p>
    <w:p w:rsidR="007C625B" w:rsidRDefault="00AC4DCB" w:rsidP="00AC4DCB">
      <w:pPr>
        <w:jc w:val="center"/>
      </w:pPr>
      <w:r w:rsidRPr="00AC4DCB">
        <w:rPr>
          <w:b/>
        </w:rPr>
        <w:t>n</w:t>
      </w:r>
      <w:r w:rsidRPr="00AC4DCB">
        <w:rPr>
          <w:i/>
          <w:vertAlign w:val="subscript"/>
        </w:rPr>
        <w:t>world</w:t>
      </w:r>
      <w:r>
        <w:rPr>
          <w:vertAlign w:val="subscript"/>
        </w:rPr>
        <w:t xml:space="preserve"> </w:t>
      </w:r>
      <w:r w:rsidR="007C625B">
        <w:t>= (</w:t>
      </w:r>
      <w:r w:rsidRPr="00AC4DCB">
        <w:rPr>
          <w:b/>
        </w:rPr>
        <w:t>n</w:t>
      </w:r>
      <w:r w:rsidRPr="00AC4DCB">
        <w:rPr>
          <w:i/>
          <w:vertAlign w:val="subscript"/>
        </w:rPr>
        <w:t>tangent</w:t>
      </w:r>
      <w:r w:rsidRPr="00AC4DCB">
        <w:rPr>
          <w:b/>
        </w:rPr>
        <w:t>M</w:t>
      </w:r>
      <w:r w:rsidRPr="00AC4DCB">
        <w:rPr>
          <w:i/>
          <w:vertAlign w:val="subscript"/>
        </w:rPr>
        <w:t>object</w:t>
      </w:r>
      <w:r>
        <w:rPr>
          <w:rFonts w:hint="eastAsia"/>
        </w:rPr>
        <w:t>)</w:t>
      </w:r>
      <w:r w:rsidRPr="00AC4DCB">
        <w:rPr>
          <w:rFonts w:hint="eastAsia"/>
          <w:b/>
        </w:rPr>
        <w:t>M</w:t>
      </w:r>
      <w:r w:rsidRPr="00AC4DCB">
        <w:rPr>
          <w:i/>
          <w:vertAlign w:val="subscript"/>
        </w:rPr>
        <w:t>world</w:t>
      </w:r>
    </w:p>
    <w:p w:rsidR="007C625B" w:rsidRDefault="007C625B" w:rsidP="00AC4DCB">
      <w:pPr>
        <w:ind w:firstLine="420"/>
      </w:pPr>
      <w:r>
        <w:rPr>
          <w:rFonts w:hint="eastAsia"/>
        </w:rPr>
        <w:t>不过，矩阵乘法满足结合律，所以我们可以把它改写为：</w:t>
      </w:r>
    </w:p>
    <w:p w:rsidR="007C625B" w:rsidRDefault="00AC4DCB" w:rsidP="00AC4DCB">
      <w:pPr>
        <w:jc w:val="center"/>
      </w:pPr>
      <w:r w:rsidRPr="00AC4DCB">
        <w:rPr>
          <w:b/>
        </w:rPr>
        <w:t>n</w:t>
      </w:r>
      <w:r w:rsidRPr="00AC4DCB">
        <w:rPr>
          <w:i/>
          <w:vertAlign w:val="subscript"/>
        </w:rPr>
        <w:t xml:space="preserve">world </w:t>
      </w:r>
      <w:r w:rsidR="007C625B">
        <w:t xml:space="preserve">= </w:t>
      </w:r>
      <w:r w:rsidRPr="00AC4DCB">
        <w:rPr>
          <w:b/>
        </w:rPr>
        <w:t>n</w:t>
      </w:r>
      <w:r w:rsidRPr="00AC4DCB">
        <w:rPr>
          <w:i/>
          <w:vertAlign w:val="subscript"/>
        </w:rPr>
        <w:t>tangent</w:t>
      </w:r>
      <w:r w:rsidR="007C625B">
        <w:t>(</w:t>
      </w:r>
      <w:r w:rsidRPr="00AC4DCB">
        <w:rPr>
          <w:b/>
        </w:rPr>
        <w:t>M</w:t>
      </w:r>
      <w:r w:rsidRPr="00AC4DCB">
        <w:rPr>
          <w:i/>
          <w:vertAlign w:val="subscript"/>
        </w:rPr>
        <w:t>object</w:t>
      </w:r>
      <w:r w:rsidRPr="00AC4DCB">
        <w:rPr>
          <w:b/>
        </w:rPr>
        <w:t>M</w:t>
      </w:r>
      <w:r w:rsidRPr="00AC4DCB">
        <w:rPr>
          <w:i/>
          <w:vertAlign w:val="subscript"/>
        </w:rPr>
        <w:t>world</w:t>
      </w:r>
      <w:r>
        <w:rPr>
          <w:rFonts w:hint="eastAsia"/>
        </w:rPr>
        <w:t>)</w:t>
      </w:r>
    </w:p>
    <w:p w:rsidR="007C625B" w:rsidRDefault="007C625B" w:rsidP="00AC4DCB">
      <w:pPr>
        <w:ind w:firstLine="420"/>
      </w:pPr>
      <w:r>
        <w:rPr>
          <w:rFonts w:hint="eastAsia"/>
        </w:rPr>
        <w:t>注意</w:t>
      </w:r>
    </w:p>
    <w:bookmarkStart w:id="0" w:name="_GoBack"/>
    <w:p w:rsidR="007C625B" w:rsidRDefault="003D5F36" w:rsidP="003D5F36">
      <w:pPr>
        <w:jc w:val="center"/>
      </w:pPr>
      <w:r w:rsidRPr="003D5F36">
        <w:rPr>
          <w:position w:val="-52"/>
        </w:rPr>
        <w:object w:dxaOrig="6140" w:dyaOrig="1160">
          <v:shape id="_x0000_i1027" type="#_x0000_t75" style="width:306.75pt;height:57.75pt" o:ole="">
            <v:imagedata r:id="rId10" o:title=""/>
          </v:shape>
          <o:OLEObject Type="Embed" ProgID="Equation.DSMT4" ShapeID="_x0000_i1027" DrawAspect="Content" ObjectID="_1470328713" r:id="rId11"/>
        </w:object>
      </w:r>
      <w:bookmarkEnd w:id="0"/>
    </w:p>
    <w:p w:rsidR="003D5F36" w:rsidRDefault="007C625B" w:rsidP="003D5F36">
      <w:pPr>
        <w:ind w:firstLine="420"/>
      </w:pPr>
      <w:r>
        <w:rPr>
          <w:rFonts w:hint="eastAsia"/>
        </w:rPr>
        <w:t>其中，</w:t>
      </w:r>
      <w:r w:rsidR="003D5F36" w:rsidRPr="003D5F36">
        <w:rPr>
          <w:rFonts w:hint="eastAsia"/>
          <w:b/>
        </w:rPr>
        <w:t>T</w:t>
      </w:r>
      <w:r w:rsidR="003D5F36">
        <w:rPr>
          <w:rFonts w:cs="Times New Roman"/>
        </w:rPr>
        <w:t>ʹ</w:t>
      </w:r>
      <w:r w:rsidR="003D5F36">
        <w:t xml:space="preserve"> </w:t>
      </w:r>
      <w:r>
        <w:rPr>
          <w:rFonts w:hint="eastAsia"/>
        </w:rPr>
        <w:t xml:space="preserve">= </w:t>
      </w:r>
      <w:r w:rsidR="003D5F36" w:rsidRPr="003D5F36">
        <w:rPr>
          <w:rFonts w:hint="eastAsia"/>
          <w:b/>
        </w:rPr>
        <w:t>T</w:t>
      </w:r>
      <w:r>
        <w:rPr>
          <w:rFonts w:hint="eastAsia"/>
        </w:rPr>
        <w:t>·</w:t>
      </w:r>
      <w:r w:rsidR="003D5F36" w:rsidRPr="003D5F36">
        <w:rPr>
          <w:rFonts w:hint="eastAsia"/>
          <w:b/>
        </w:rPr>
        <w:t>M</w:t>
      </w:r>
      <w:r w:rsidR="003D5F36" w:rsidRPr="003D5F36">
        <w:rPr>
          <w:rFonts w:hint="eastAsia"/>
          <w:i/>
          <w:vertAlign w:val="subscript"/>
        </w:rPr>
        <w:t>world</w:t>
      </w:r>
      <w:r>
        <w:rPr>
          <w:rFonts w:hint="eastAsia"/>
        </w:rPr>
        <w:t>、</w:t>
      </w:r>
      <w:r w:rsidR="003D5F36" w:rsidRPr="003D5F36">
        <w:rPr>
          <w:rFonts w:hint="eastAsia"/>
          <w:b/>
        </w:rPr>
        <w:t>B</w:t>
      </w:r>
      <w:r w:rsidR="003D5F36">
        <w:rPr>
          <w:rFonts w:cs="Times New Roman"/>
        </w:rPr>
        <w:t>ʹ</w:t>
      </w:r>
      <w:r>
        <w:rPr>
          <w:rFonts w:hint="eastAsia"/>
        </w:rPr>
        <w:t xml:space="preserve"> = </w:t>
      </w:r>
      <w:r w:rsidR="003D5F36" w:rsidRPr="003D5F36">
        <w:rPr>
          <w:rFonts w:hint="eastAsia"/>
          <w:b/>
        </w:rPr>
        <w:t>B</w:t>
      </w:r>
      <w:r>
        <w:rPr>
          <w:rFonts w:hint="eastAsia"/>
        </w:rPr>
        <w:t>·</w:t>
      </w:r>
      <w:r w:rsidR="003D5F36" w:rsidRPr="003D5F36">
        <w:rPr>
          <w:rFonts w:hint="eastAsia"/>
          <w:b/>
        </w:rPr>
        <w:t>M</w:t>
      </w:r>
      <w:r w:rsidR="003D5F36" w:rsidRPr="003D5F36">
        <w:rPr>
          <w:rFonts w:hint="eastAsia"/>
          <w:i/>
          <w:vertAlign w:val="subscript"/>
        </w:rPr>
        <w:t>world</w:t>
      </w:r>
      <w:r>
        <w:rPr>
          <w:rFonts w:hint="eastAsia"/>
        </w:rPr>
        <w:t>、</w:t>
      </w:r>
      <w:r w:rsidR="003D5F36" w:rsidRPr="003D5F36">
        <w:rPr>
          <w:rFonts w:hint="eastAsia"/>
          <w:b/>
        </w:rPr>
        <w:t>N</w:t>
      </w:r>
      <w:r w:rsidR="003D5F36">
        <w:rPr>
          <w:rFonts w:cs="Times New Roman"/>
        </w:rPr>
        <w:t>ʹ</w:t>
      </w:r>
      <w:r>
        <w:rPr>
          <w:rFonts w:hint="eastAsia"/>
        </w:rPr>
        <w:t xml:space="preserve"> = </w:t>
      </w:r>
      <w:r w:rsidR="003D5F36" w:rsidRPr="003D5F36">
        <w:rPr>
          <w:rFonts w:hint="eastAsia"/>
          <w:b/>
        </w:rPr>
        <w:t>N</w:t>
      </w:r>
      <w:r>
        <w:rPr>
          <w:rFonts w:hint="eastAsia"/>
        </w:rPr>
        <w:t>·</w:t>
      </w:r>
      <w:r w:rsidR="003D5F36" w:rsidRPr="003D5F36">
        <w:rPr>
          <w:rFonts w:hint="eastAsia"/>
          <w:b/>
        </w:rPr>
        <w:t>M</w:t>
      </w:r>
      <w:r w:rsidR="003D5F36" w:rsidRPr="003D5F36">
        <w:rPr>
          <w:rFonts w:hint="eastAsia"/>
          <w:i/>
          <w:vertAlign w:val="subscript"/>
        </w:rPr>
        <w:t>world</w:t>
      </w:r>
      <w:r>
        <w:rPr>
          <w:rFonts w:hint="eastAsia"/>
        </w:rPr>
        <w:t>。这样，法线向量可以直接从正切空间变换到世界空间。我们只需要描述在世界空间中的</w:t>
      </w:r>
      <w:r>
        <w:rPr>
          <w:rFonts w:hint="eastAsia"/>
        </w:rPr>
        <w:t>TBN</w:t>
      </w:r>
      <w:r>
        <w:rPr>
          <w:rFonts w:hint="eastAsia"/>
        </w:rPr>
        <w:t>基，就可以将法线向量从物体空间变换到世界空间。</w:t>
      </w:r>
    </w:p>
    <w:p w:rsidR="007C625B" w:rsidRDefault="007C625B" w:rsidP="003D5F36">
      <w:pPr>
        <w:ind w:firstLine="420"/>
      </w:pPr>
      <w:r w:rsidRPr="003D5F36">
        <w:rPr>
          <w:rFonts w:hint="eastAsia"/>
          <w:b/>
        </w:rPr>
        <w:t>注意</w:t>
      </w:r>
      <w:r w:rsidR="003D5F36">
        <w:rPr>
          <w:rFonts w:hint="eastAsia"/>
        </w:rPr>
        <w:t>：</w:t>
      </w:r>
      <w:r>
        <w:rPr>
          <w:rFonts w:hint="eastAsia"/>
        </w:rPr>
        <w:t>我们只对向量进行变换（不考虑点的变换）。所以，我们只需要一个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矩阵。前面讲过，仿射矩阵的第</w:t>
      </w:r>
      <w:r>
        <w:rPr>
          <w:rFonts w:hint="eastAsia"/>
        </w:rPr>
        <w:t>4</w:t>
      </w:r>
      <w:r>
        <w:rPr>
          <w:rFonts w:hint="eastAsia"/>
        </w:rPr>
        <w:t>行用于平移，但是我们在这里不需要平移向量。</w:t>
      </w:r>
    </w:p>
    <w:sectPr w:rsidR="007C625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8B" w:rsidRDefault="00E4458B" w:rsidP="00AC4DCB">
      <w:r>
        <w:separator/>
      </w:r>
    </w:p>
  </w:endnote>
  <w:endnote w:type="continuationSeparator" w:id="0">
    <w:p w:rsidR="00E4458B" w:rsidRDefault="00E4458B" w:rsidP="00AC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48876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5F36" w:rsidRDefault="003D5F3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3B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3B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5F36" w:rsidRDefault="003D5F3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8B" w:rsidRDefault="00E4458B" w:rsidP="00AC4DCB">
      <w:r>
        <w:separator/>
      </w:r>
    </w:p>
  </w:footnote>
  <w:footnote w:type="continuationSeparator" w:id="0">
    <w:p w:rsidR="00E4458B" w:rsidRDefault="00E4458B" w:rsidP="00AC4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5B"/>
    <w:rsid w:val="00393B42"/>
    <w:rsid w:val="003D5F36"/>
    <w:rsid w:val="005D0780"/>
    <w:rsid w:val="00607564"/>
    <w:rsid w:val="007C625B"/>
    <w:rsid w:val="00A37D9B"/>
    <w:rsid w:val="00AC4DCB"/>
    <w:rsid w:val="00E4458B"/>
    <w:rsid w:val="00F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462465-165B-4913-9755-7F6B725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C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C625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25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C4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520</Characters>
  <Application>Microsoft Office Word</Application>
  <DocSecurity>0</DocSecurity>
  <Lines>4</Lines>
  <Paragraphs>1</Paragraphs>
  <ScaleCrop>false</ScaleCrop>
  <Company>shiba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4</cp:revision>
  <dcterms:created xsi:type="dcterms:W3CDTF">2014-08-21T13:24:00Z</dcterms:created>
  <dcterms:modified xsi:type="dcterms:W3CDTF">2014-08-23T11:52:00Z</dcterms:modified>
</cp:coreProperties>
</file>