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31E" w:rsidRPr="00855BB0" w:rsidRDefault="004A431E" w:rsidP="00DF6579">
      <w:pPr>
        <w:jc w:val="both"/>
        <w:rPr>
          <w:b/>
          <w:sz w:val="36"/>
        </w:rPr>
      </w:pPr>
      <w:r w:rsidRPr="00855BB0">
        <w:rPr>
          <w:b/>
          <w:sz w:val="36"/>
        </w:rPr>
        <w:t>EPA to Change the Way It Handles Lawsuits</w:t>
      </w:r>
    </w:p>
    <w:p w:rsidR="004A431E" w:rsidRDefault="004A431E" w:rsidP="00DF6579">
      <w:pPr>
        <w:jc w:val="both"/>
        <w:rPr>
          <w:sz w:val="24"/>
        </w:rPr>
      </w:pPr>
    </w:p>
    <w:p w:rsidR="00DF6579" w:rsidRPr="000140AD" w:rsidRDefault="00DF6579" w:rsidP="00DF6579">
      <w:pPr>
        <w:jc w:val="both"/>
        <w:rPr>
          <w:sz w:val="24"/>
        </w:rPr>
      </w:pPr>
      <w:bookmarkStart w:id="0" w:name="_GoBack"/>
      <w:r w:rsidRPr="000140AD">
        <w:rPr>
          <w:sz w:val="24"/>
        </w:rPr>
        <w:t xml:space="preserve">EPA Administrator Scott Pruitt has announced EPA </w:t>
      </w:r>
      <w:r w:rsidR="004A431E">
        <w:rPr>
          <w:sz w:val="24"/>
        </w:rPr>
        <w:t xml:space="preserve">will be </w:t>
      </w:r>
      <w:r w:rsidR="00B828B7" w:rsidRPr="000140AD">
        <w:rPr>
          <w:sz w:val="24"/>
        </w:rPr>
        <w:t>ending practice of “sue and settle</w:t>
      </w:r>
      <w:r w:rsidRPr="000140AD">
        <w:rPr>
          <w:sz w:val="24"/>
        </w:rPr>
        <w:t>.</w:t>
      </w:r>
      <w:r w:rsidR="00B828B7" w:rsidRPr="000140AD">
        <w:rPr>
          <w:sz w:val="24"/>
        </w:rPr>
        <w:t>”</w:t>
      </w:r>
      <w:r w:rsidRPr="000140AD">
        <w:rPr>
          <w:sz w:val="24"/>
        </w:rPr>
        <w:t xml:space="preserve">  </w:t>
      </w:r>
    </w:p>
    <w:p w:rsidR="00DF6579" w:rsidRPr="000140AD" w:rsidRDefault="00DF6579" w:rsidP="00DF6579">
      <w:pPr>
        <w:jc w:val="both"/>
        <w:rPr>
          <w:sz w:val="24"/>
        </w:rPr>
      </w:pPr>
    </w:p>
    <w:p w:rsidR="00855BB0" w:rsidRDefault="00DF6579" w:rsidP="00DF6579">
      <w:pPr>
        <w:jc w:val="both"/>
        <w:rPr>
          <w:sz w:val="24"/>
        </w:rPr>
      </w:pPr>
      <w:r w:rsidRPr="000140AD">
        <w:rPr>
          <w:sz w:val="24"/>
        </w:rPr>
        <w:t>In sue and settle, a third-party group sues a federal agenc</w:t>
      </w:r>
      <w:r w:rsidR="004A431E">
        <w:rPr>
          <w:sz w:val="24"/>
        </w:rPr>
        <w:t xml:space="preserve">y, asking the courts to require </w:t>
      </w:r>
      <w:r w:rsidRPr="000140AD">
        <w:rPr>
          <w:sz w:val="24"/>
        </w:rPr>
        <w:t xml:space="preserve">the agency to </w:t>
      </w:r>
      <w:r w:rsidR="004A431E">
        <w:rPr>
          <w:sz w:val="24"/>
        </w:rPr>
        <w:t>change</w:t>
      </w:r>
      <w:r w:rsidRPr="000140AD">
        <w:rPr>
          <w:sz w:val="24"/>
        </w:rPr>
        <w:t xml:space="preserve"> statutory duties or to enforce </w:t>
      </w:r>
      <w:r w:rsidR="004A431E">
        <w:rPr>
          <w:sz w:val="24"/>
        </w:rPr>
        <w:t xml:space="preserve">specific </w:t>
      </w:r>
      <w:r w:rsidRPr="000140AD">
        <w:rPr>
          <w:sz w:val="24"/>
        </w:rPr>
        <w:t>timelines written within laws.  In the past, EPA has settled out of court with the</w:t>
      </w:r>
      <w:r w:rsidR="004A431E">
        <w:rPr>
          <w:sz w:val="24"/>
        </w:rPr>
        <w:t xml:space="preserve">se </w:t>
      </w:r>
      <w:r w:rsidRPr="000140AD">
        <w:rPr>
          <w:sz w:val="24"/>
        </w:rPr>
        <w:t xml:space="preserve">groups through a consent decree or settlement agreement.  EPA says the resulting </w:t>
      </w:r>
      <w:r w:rsidR="004A431E">
        <w:rPr>
          <w:sz w:val="24"/>
        </w:rPr>
        <w:t>negotiations</w:t>
      </w:r>
      <w:r w:rsidRPr="000140AD">
        <w:rPr>
          <w:sz w:val="24"/>
        </w:rPr>
        <w:t xml:space="preserve"> would </w:t>
      </w:r>
      <w:r w:rsidR="004A431E">
        <w:rPr>
          <w:sz w:val="24"/>
        </w:rPr>
        <w:t>often change regulations, causing unreasonable</w:t>
      </w:r>
      <w:r w:rsidRPr="000140AD">
        <w:rPr>
          <w:sz w:val="24"/>
        </w:rPr>
        <w:t xml:space="preserve"> deadlines or commitments to actions which weren’t </w:t>
      </w:r>
      <w:r w:rsidR="004A431E">
        <w:rPr>
          <w:sz w:val="24"/>
        </w:rPr>
        <w:t>part of the existing regulations</w:t>
      </w:r>
      <w:r w:rsidRPr="000140AD">
        <w:rPr>
          <w:sz w:val="24"/>
        </w:rPr>
        <w:t xml:space="preserve">.  </w:t>
      </w:r>
    </w:p>
    <w:p w:rsidR="00855BB0" w:rsidRDefault="00855BB0" w:rsidP="00DF6579">
      <w:pPr>
        <w:jc w:val="both"/>
        <w:rPr>
          <w:sz w:val="24"/>
        </w:rPr>
      </w:pPr>
    </w:p>
    <w:p w:rsidR="00F46AD9" w:rsidRPr="000140AD" w:rsidRDefault="00DF6579" w:rsidP="00DF6579">
      <w:pPr>
        <w:jc w:val="both"/>
        <w:rPr>
          <w:sz w:val="24"/>
        </w:rPr>
      </w:pPr>
      <w:r w:rsidRPr="000140AD">
        <w:rPr>
          <w:sz w:val="24"/>
        </w:rPr>
        <w:t xml:space="preserve">These consent agreements </w:t>
      </w:r>
      <w:r w:rsidR="004A431E">
        <w:rPr>
          <w:sz w:val="24"/>
        </w:rPr>
        <w:t xml:space="preserve">were negotiated privately </w:t>
      </w:r>
      <w:r w:rsidRPr="000140AD">
        <w:rPr>
          <w:sz w:val="24"/>
        </w:rPr>
        <w:t xml:space="preserve">and </w:t>
      </w:r>
      <w:r w:rsidR="00855BB0">
        <w:rPr>
          <w:sz w:val="24"/>
        </w:rPr>
        <w:t>any n</w:t>
      </w:r>
      <w:r w:rsidR="004A431E">
        <w:rPr>
          <w:sz w:val="24"/>
        </w:rPr>
        <w:t xml:space="preserve">ew requirements </w:t>
      </w:r>
      <w:r w:rsidRPr="000140AD">
        <w:rPr>
          <w:sz w:val="24"/>
        </w:rPr>
        <w:t>were not eligible for public comment.</w:t>
      </w:r>
      <w:r w:rsidR="004A431E">
        <w:rPr>
          <w:sz w:val="24"/>
        </w:rPr>
        <w:t xml:space="preserve"> On top of that, the agency would pay tens of thousands of dollars in attorney’s fees and litigation costs of the groups which were suing them.</w:t>
      </w:r>
    </w:p>
    <w:p w:rsidR="000140AD" w:rsidRPr="000140AD" w:rsidRDefault="000140AD" w:rsidP="00DF6579">
      <w:pPr>
        <w:jc w:val="both"/>
        <w:rPr>
          <w:sz w:val="24"/>
        </w:rPr>
      </w:pPr>
    </w:p>
    <w:p w:rsidR="004A431E" w:rsidRDefault="000140AD" w:rsidP="00DF6579">
      <w:pPr>
        <w:jc w:val="both"/>
        <w:rPr>
          <w:sz w:val="24"/>
        </w:rPr>
      </w:pPr>
      <w:r w:rsidRPr="000140AD">
        <w:rPr>
          <w:sz w:val="24"/>
        </w:rPr>
        <w:t>Going forward, EPA promises further transparency and public engagement when it comes to considering a</w:t>
      </w:r>
      <w:r w:rsidR="005A0F67">
        <w:rPr>
          <w:sz w:val="24"/>
        </w:rPr>
        <w:t>ny settlement or consent decree, including:</w:t>
      </w:r>
    </w:p>
    <w:p w:rsidR="004A431E" w:rsidRDefault="004A431E" w:rsidP="00DF6579">
      <w:pPr>
        <w:jc w:val="both"/>
        <w:rPr>
          <w:sz w:val="24"/>
        </w:rPr>
      </w:pPr>
    </w:p>
    <w:p w:rsidR="004A431E" w:rsidRDefault="005A0F67" w:rsidP="004A431E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Establishing p</w:t>
      </w:r>
      <w:r w:rsidR="000140AD" w:rsidRPr="004A431E">
        <w:rPr>
          <w:sz w:val="24"/>
        </w:rPr>
        <w:t>rocedures to publish lawsuits, complaints, and petitions which have been filed against the</w:t>
      </w:r>
      <w:r w:rsidR="004A431E">
        <w:rPr>
          <w:sz w:val="24"/>
        </w:rPr>
        <w:t xml:space="preserve">m or their state </w:t>
      </w:r>
      <w:r w:rsidR="00855BB0">
        <w:rPr>
          <w:sz w:val="24"/>
        </w:rPr>
        <w:t xml:space="preserve">agency </w:t>
      </w:r>
      <w:r w:rsidR="004A431E">
        <w:rPr>
          <w:sz w:val="24"/>
        </w:rPr>
        <w:t>counterparts;</w:t>
      </w:r>
    </w:p>
    <w:p w:rsidR="004A431E" w:rsidRDefault="005A0F67" w:rsidP="004A431E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P</w:t>
      </w:r>
      <w:r w:rsidR="000140AD" w:rsidRPr="004A431E">
        <w:rPr>
          <w:sz w:val="24"/>
        </w:rPr>
        <w:t>ublishing a list of consent decrees and settlement agreements, including attorney</w:t>
      </w:r>
      <w:r w:rsidR="004A431E">
        <w:rPr>
          <w:sz w:val="24"/>
        </w:rPr>
        <w:t>’s fees paid;</w:t>
      </w:r>
    </w:p>
    <w:p w:rsidR="004A431E" w:rsidRDefault="005A0F67" w:rsidP="004A431E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Providing </w:t>
      </w:r>
      <w:r w:rsidR="000140AD" w:rsidRPr="004A431E">
        <w:rPr>
          <w:sz w:val="24"/>
        </w:rPr>
        <w:t xml:space="preserve">sufficient time </w:t>
      </w:r>
      <w:r>
        <w:rPr>
          <w:sz w:val="24"/>
        </w:rPr>
        <w:t xml:space="preserve">for </w:t>
      </w:r>
      <w:r w:rsidR="000140AD" w:rsidRPr="004A431E">
        <w:rPr>
          <w:sz w:val="24"/>
        </w:rPr>
        <w:t>public comment on any action which would modify a prop</w:t>
      </w:r>
      <w:r>
        <w:rPr>
          <w:sz w:val="24"/>
        </w:rPr>
        <w:t xml:space="preserve">osed or final rule, and publishing </w:t>
      </w:r>
      <w:r w:rsidR="000140AD" w:rsidRPr="004A431E">
        <w:rPr>
          <w:sz w:val="24"/>
        </w:rPr>
        <w:t xml:space="preserve">proposed and modified decrees and </w:t>
      </w:r>
      <w:r w:rsidR="004A431E">
        <w:rPr>
          <w:sz w:val="24"/>
        </w:rPr>
        <w:t>settlements for public comment;</w:t>
      </w:r>
      <w:r w:rsidR="000140AD" w:rsidRPr="004A431E">
        <w:rPr>
          <w:sz w:val="24"/>
        </w:rPr>
        <w:t xml:space="preserve"> </w:t>
      </w:r>
    </w:p>
    <w:p w:rsidR="004A431E" w:rsidRDefault="005A0F67" w:rsidP="004A431E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Not entering into a</w:t>
      </w:r>
      <w:r w:rsidR="000140AD" w:rsidRPr="004A431E">
        <w:rPr>
          <w:sz w:val="24"/>
        </w:rPr>
        <w:t>ny consent decree that exceeds the authority of the courts</w:t>
      </w:r>
      <w:r>
        <w:rPr>
          <w:sz w:val="24"/>
        </w:rPr>
        <w:t xml:space="preserve">; </w:t>
      </w:r>
      <w:r w:rsidR="000140AD" w:rsidRPr="004A431E">
        <w:rPr>
          <w:sz w:val="24"/>
        </w:rPr>
        <w:t>and</w:t>
      </w:r>
      <w:r w:rsidR="004A431E">
        <w:rPr>
          <w:sz w:val="24"/>
        </w:rPr>
        <w:t xml:space="preserve">, </w:t>
      </w:r>
    </w:p>
    <w:p w:rsidR="000140AD" w:rsidRDefault="005A0F67" w:rsidP="004A431E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No longer paying </w:t>
      </w:r>
      <w:r w:rsidR="000140AD" w:rsidRPr="004A431E">
        <w:rPr>
          <w:sz w:val="24"/>
        </w:rPr>
        <w:t xml:space="preserve">attorney’s fees and litigation costs </w:t>
      </w:r>
      <w:r w:rsidR="004A431E" w:rsidRPr="004A431E">
        <w:rPr>
          <w:sz w:val="24"/>
        </w:rPr>
        <w:t>of the groups who are suing them</w:t>
      </w:r>
      <w:r w:rsidR="000140AD" w:rsidRPr="004A431E">
        <w:rPr>
          <w:sz w:val="24"/>
        </w:rPr>
        <w:t>.</w:t>
      </w:r>
    </w:p>
    <w:p w:rsidR="00855BB0" w:rsidRDefault="00855BB0" w:rsidP="00855BB0">
      <w:pPr>
        <w:jc w:val="both"/>
        <w:rPr>
          <w:sz w:val="24"/>
        </w:rPr>
      </w:pPr>
    </w:p>
    <w:p w:rsidR="00855BB0" w:rsidRPr="00855BB0" w:rsidRDefault="00855BB0" w:rsidP="00855BB0">
      <w:pPr>
        <w:jc w:val="both"/>
        <w:rPr>
          <w:sz w:val="24"/>
        </w:rPr>
      </w:pPr>
      <w:r>
        <w:rPr>
          <w:sz w:val="24"/>
        </w:rPr>
        <w:t xml:space="preserve">To learn more, see </w:t>
      </w:r>
      <w:hyperlink r:id="rId5" w:history="1">
        <w:r w:rsidRPr="00855BB0">
          <w:rPr>
            <w:rStyle w:val="Hyperlink"/>
            <w:sz w:val="24"/>
          </w:rPr>
          <w:t>EPA’s announcement</w:t>
        </w:r>
      </w:hyperlink>
      <w:r>
        <w:rPr>
          <w:color w:val="0070C0"/>
          <w:sz w:val="24"/>
        </w:rPr>
        <w:t>.</w:t>
      </w:r>
    </w:p>
    <w:bookmarkEnd w:id="0"/>
    <w:p w:rsidR="000140AD" w:rsidRDefault="000140AD" w:rsidP="00DF6579">
      <w:pPr>
        <w:jc w:val="both"/>
        <w:rPr>
          <w:sz w:val="24"/>
        </w:rPr>
      </w:pPr>
    </w:p>
    <w:p w:rsidR="000140AD" w:rsidRPr="000140AD" w:rsidRDefault="000140AD" w:rsidP="00DF6579">
      <w:pPr>
        <w:jc w:val="both"/>
        <w:rPr>
          <w:sz w:val="24"/>
        </w:rPr>
      </w:pPr>
    </w:p>
    <w:sectPr w:rsidR="000140AD" w:rsidRPr="00014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D71B8"/>
    <w:multiLevelType w:val="hybridMultilevel"/>
    <w:tmpl w:val="DED04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8B7"/>
    <w:rsid w:val="000140AD"/>
    <w:rsid w:val="004A431E"/>
    <w:rsid w:val="005A0F67"/>
    <w:rsid w:val="00855BB0"/>
    <w:rsid w:val="00B828B7"/>
    <w:rsid w:val="00CC3825"/>
    <w:rsid w:val="00DF6579"/>
    <w:rsid w:val="00F46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D0E56E-AE49-42DA-9DB4-B91035133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3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5B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pa.gov/newsreleases/administrator-pruitt-issues-directive-end-epa-sue-sett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 Hadley</dc:creator>
  <cp:keywords/>
  <dc:description/>
  <cp:lastModifiedBy>Tami Hadley</cp:lastModifiedBy>
  <cp:revision>2</cp:revision>
  <dcterms:created xsi:type="dcterms:W3CDTF">2017-10-17T15:53:00Z</dcterms:created>
  <dcterms:modified xsi:type="dcterms:W3CDTF">2017-10-17T21:31:00Z</dcterms:modified>
</cp:coreProperties>
</file>