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1875" w14:textId="280EBD36" w:rsidR="00230869" w:rsidRPr="00230869" w:rsidRDefault="00230869" w:rsidP="00230869">
      <w:pPr>
        <w:rPr>
          <w:rFonts w:ascii="Arial" w:eastAsia="Times New Roman" w:hAnsi="Arial" w:cs="Arial"/>
          <w:sz w:val="24"/>
          <w:szCs w:val="24"/>
        </w:rPr>
      </w:pPr>
      <w:r w:rsidRPr="00230869">
        <w:rPr>
          <w:rFonts w:ascii="Arial" w:eastAsia="Times New Roman" w:hAnsi="Arial" w:cs="Arial"/>
          <w:sz w:val="24"/>
          <w:szCs w:val="24"/>
        </w:rPr>
        <w:t xml:space="preserve">EPA has reviewed inspection data from its regional offices to get an idea of the most common Facility Response Plan and </w:t>
      </w:r>
      <w:hyperlink r:id="rId5" w:history="1">
        <w:r w:rsidRPr="0023086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SPCC (Spill Prevention, Control and Countermeasures) Plan</w:t>
        </w:r>
      </w:hyperlink>
      <w:r w:rsidRPr="00230869">
        <w:rPr>
          <w:rFonts w:ascii="Arial" w:eastAsia="Times New Roman" w:hAnsi="Arial" w:cs="Arial"/>
          <w:sz w:val="24"/>
          <w:szCs w:val="24"/>
        </w:rPr>
        <w:t xml:space="preserve"> deficiencies</w:t>
      </w:r>
      <w:proofErr w:type="gramStart"/>
      <w:r w:rsidRPr="00230869">
        <w:rPr>
          <w:rFonts w:ascii="Arial" w:eastAsia="Times New Roman" w:hAnsi="Arial" w:cs="Arial"/>
          <w:sz w:val="24"/>
          <w:szCs w:val="24"/>
        </w:rPr>
        <w:t xml:space="preserve">.  </w:t>
      </w:r>
      <w:proofErr w:type="gramEnd"/>
      <w:r w:rsidRPr="00230869">
        <w:rPr>
          <w:rFonts w:ascii="Arial" w:eastAsia="Times New Roman" w:hAnsi="Arial" w:cs="Arial"/>
          <w:sz w:val="24"/>
          <w:szCs w:val="24"/>
        </w:rPr>
        <w:t>The goal of the review was to help EPA determine how clear their rules were to help companies comply with the regulations</w:t>
      </w:r>
      <w:proofErr w:type="gramStart"/>
      <w:r w:rsidRPr="00230869">
        <w:rPr>
          <w:rFonts w:ascii="Arial" w:eastAsia="Times New Roman" w:hAnsi="Arial" w:cs="Arial"/>
          <w:sz w:val="24"/>
          <w:szCs w:val="24"/>
        </w:rPr>
        <w:t xml:space="preserve">.  </w:t>
      </w:r>
      <w:proofErr w:type="gramEnd"/>
      <w:r w:rsidRPr="00230869">
        <w:rPr>
          <w:rFonts w:ascii="Arial" w:eastAsia="Times New Roman" w:hAnsi="Arial" w:cs="Arial"/>
          <w:sz w:val="24"/>
          <w:szCs w:val="24"/>
        </w:rPr>
        <w:t>[</w:t>
      </w:r>
      <w:hyperlink r:id="rId6" w:history="1">
        <w:r w:rsidRPr="00230869">
          <w:rPr>
            <w:rStyle w:val="Hyperlink"/>
            <w:rFonts w:ascii="Arial" w:eastAsia="Times New Roman" w:hAnsi="Arial" w:cs="Arial"/>
            <w:sz w:val="24"/>
            <w:szCs w:val="24"/>
          </w:rPr>
          <w:t>Check out the SPCC Plan deficiencies here.</w:t>
        </w:r>
      </w:hyperlink>
      <w:r w:rsidRPr="00230869">
        <w:rPr>
          <w:rFonts w:ascii="Arial" w:eastAsia="Times New Roman" w:hAnsi="Arial" w:cs="Arial"/>
          <w:sz w:val="24"/>
          <w:szCs w:val="24"/>
        </w:rPr>
        <w:t>]</w:t>
      </w:r>
    </w:p>
    <w:p w14:paraId="41088A4B" w14:textId="77777777" w:rsidR="00230869" w:rsidRDefault="00230869" w:rsidP="00230869">
      <w:pPr>
        <w:rPr>
          <w:rFonts w:ascii="Arial" w:eastAsia="Times New Roman" w:hAnsi="Arial" w:cs="Arial"/>
          <w:b/>
          <w:bCs/>
          <w:color w:val="C10358"/>
          <w:sz w:val="24"/>
          <w:szCs w:val="24"/>
        </w:rPr>
      </w:pPr>
    </w:p>
    <w:p w14:paraId="2C3CFFAC" w14:textId="10FC7B08" w:rsidR="00230869" w:rsidRPr="00230869" w:rsidRDefault="00230869" w:rsidP="00230869">
      <w:pPr>
        <w:rPr>
          <w:rFonts w:ascii="Arial" w:eastAsia="Times New Roman" w:hAnsi="Arial" w:cs="Arial"/>
          <w:sz w:val="24"/>
          <w:szCs w:val="24"/>
        </w:rPr>
      </w:pPr>
      <w:r w:rsidRPr="00230869">
        <w:rPr>
          <w:rFonts w:ascii="Arial" w:eastAsia="Times New Roman" w:hAnsi="Arial" w:cs="Arial"/>
          <w:b/>
          <w:bCs/>
          <w:color w:val="C10358"/>
          <w:sz w:val="24"/>
          <w:szCs w:val="24"/>
        </w:rPr>
        <w:t>What is a Facility Response Plan (aka, an FRP)?</w:t>
      </w:r>
    </w:p>
    <w:p w14:paraId="5943F900" w14:textId="77777777" w:rsidR="00230869" w:rsidRDefault="00230869" w:rsidP="00230869">
      <w:pPr>
        <w:rPr>
          <w:rFonts w:ascii="Arial" w:eastAsia="Times New Roman" w:hAnsi="Arial" w:cs="Arial"/>
          <w:sz w:val="24"/>
          <w:szCs w:val="24"/>
        </w:rPr>
      </w:pPr>
    </w:p>
    <w:p w14:paraId="3B2921AE" w14:textId="5DC5F478" w:rsidR="00230869" w:rsidRPr="00230869" w:rsidRDefault="00230869" w:rsidP="00230869">
      <w:pPr>
        <w:rPr>
          <w:rFonts w:ascii="Arial" w:eastAsia="Times New Roman" w:hAnsi="Arial" w:cs="Arial"/>
          <w:sz w:val="24"/>
          <w:szCs w:val="24"/>
        </w:rPr>
      </w:pPr>
      <w:r w:rsidRPr="00230869">
        <w:rPr>
          <w:rFonts w:ascii="Arial" w:eastAsia="Times New Roman" w:hAnsi="Arial" w:cs="Arial"/>
          <w:sz w:val="24"/>
          <w:szCs w:val="24"/>
        </w:rPr>
        <w:t>Facility response plans are required per 40 CFR 112</w:t>
      </w:r>
      <w:proofErr w:type="gramStart"/>
      <w:r w:rsidRPr="00230869">
        <w:rPr>
          <w:rFonts w:ascii="Arial" w:eastAsia="Times New Roman" w:hAnsi="Arial" w:cs="Arial"/>
          <w:sz w:val="24"/>
          <w:szCs w:val="24"/>
        </w:rPr>
        <w:t xml:space="preserve">.  </w:t>
      </w:r>
      <w:proofErr w:type="gramEnd"/>
      <w:r w:rsidRPr="00230869">
        <w:rPr>
          <w:rFonts w:ascii="Arial" w:eastAsia="Times New Roman" w:hAnsi="Arial" w:cs="Arial"/>
          <w:sz w:val="24"/>
          <w:szCs w:val="24"/>
        </w:rPr>
        <w:t>If you have over 42,000 gallons of oils and are transferring them over water to/from vessels, or if you have over 1,000,000 gallons and meet certain criteria, you are required to have a Facility Response Plan</w:t>
      </w:r>
      <w:proofErr w:type="gramStart"/>
      <w:r w:rsidRPr="00230869">
        <w:rPr>
          <w:rFonts w:ascii="Arial" w:eastAsia="Times New Roman" w:hAnsi="Arial" w:cs="Arial"/>
          <w:sz w:val="24"/>
          <w:szCs w:val="24"/>
        </w:rPr>
        <w:t xml:space="preserve">.  </w:t>
      </w:r>
      <w:proofErr w:type="gramEnd"/>
      <w:r w:rsidRPr="00230869">
        <w:rPr>
          <w:rFonts w:ascii="Arial" w:eastAsia="Times New Roman" w:hAnsi="Arial" w:cs="Arial"/>
          <w:sz w:val="24"/>
          <w:szCs w:val="24"/>
        </w:rPr>
        <w:t>Both the SPCC Plan and Facility Response Plan are from the Federal Water Pollution Control Act.</w:t>
      </w:r>
    </w:p>
    <w:p w14:paraId="5A4E8B31" w14:textId="77777777" w:rsidR="00230869" w:rsidRDefault="00230869" w:rsidP="00230869">
      <w:pPr>
        <w:rPr>
          <w:rFonts w:ascii="Arial" w:eastAsia="Times New Roman" w:hAnsi="Arial" w:cs="Arial"/>
          <w:b/>
          <w:bCs/>
          <w:color w:val="C10358"/>
          <w:sz w:val="24"/>
          <w:szCs w:val="24"/>
        </w:rPr>
      </w:pPr>
    </w:p>
    <w:p w14:paraId="33FDF2E4" w14:textId="0E40782A" w:rsidR="00230869" w:rsidRPr="00230869" w:rsidRDefault="00230869" w:rsidP="00230869">
      <w:pPr>
        <w:rPr>
          <w:rFonts w:ascii="Arial" w:eastAsia="Times New Roman" w:hAnsi="Arial" w:cs="Arial"/>
          <w:sz w:val="24"/>
          <w:szCs w:val="24"/>
        </w:rPr>
      </w:pPr>
      <w:r w:rsidRPr="00230869">
        <w:rPr>
          <w:rFonts w:ascii="Arial" w:eastAsia="Times New Roman" w:hAnsi="Arial" w:cs="Arial"/>
          <w:b/>
          <w:bCs/>
          <w:color w:val="C10358"/>
          <w:sz w:val="24"/>
          <w:szCs w:val="24"/>
        </w:rPr>
        <w:t>EPA's Review</w:t>
      </w:r>
    </w:p>
    <w:p w14:paraId="0EB9FF53" w14:textId="77777777" w:rsidR="00230869" w:rsidRDefault="00230869" w:rsidP="00230869">
      <w:pPr>
        <w:rPr>
          <w:rFonts w:ascii="Arial" w:eastAsia="Times New Roman" w:hAnsi="Arial" w:cs="Arial"/>
          <w:sz w:val="24"/>
          <w:szCs w:val="24"/>
        </w:rPr>
      </w:pPr>
    </w:p>
    <w:p w14:paraId="305BF723" w14:textId="123ECFE3" w:rsidR="00230869" w:rsidRPr="00230869" w:rsidRDefault="00230869" w:rsidP="00230869">
      <w:pPr>
        <w:rPr>
          <w:rFonts w:ascii="Arial" w:eastAsia="Times New Roman" w:hAnsi="Arial" w:cs="Arial"/>
          <w:sz w:val="24"/>
          <w:szCs w:val="24"/>
        </w:rPr>
      </w:pPr>
      <w:r w:rsidRPr="00230869">
        <w:rPr>
          <w:rFonts w:ascii="Arial" w:eastAsia="Times New Roman" w:hAnsi="Arial" w:cs="Arial"/>
          <w:sz w:val="24"/>
          <w:szCs w:val="24"/>
        </w:rPr>
        <w:t>The data was reviewed for companies who also had both Facility Response Plans and SPCC Plans, with a preference for companies with higher oil storage capacity</w:t>
      </w:r>
      <w:proofErr w:type="gramStart"/>
      <w:r w:rsidRPr="00230869">
        <w:rPr>
          <w:rFonts w:ascii="Arial" w:eastAsia="Times New Roman" w:hAnsi="Arial" w:cs="Arial"/>
          <w:sz w:val="24"/>
          <w:szCs w:val="24"/>
        </w:rPr>
        <w:t xml:space="preserve">.  </w:t>
      </w:r>
      <w:proofErr w:type="gramEnd"/>
      <w:r w:rsidRPr="00230869">
        <w:rPr>
          <w:rFonts w:ascii="Arial" w:eastAsia="Times New Roman" w:hAnsi="Arial" w:cs="Arial"/>
          <w:sz w:val="24"/>
          <w:szCs w:val="24"/>
        </w:rPr>
        <w:t xml:space="preserve">The Facility Response Plans facilities had an average aggregate oil storage capacity of 69,000 to 857 million gallons of oil, with a </w:t>
      </w:r>
      <w:proofErr w:type="spellStart"/>
      <w:r w:rsidRPr="00230869">
        <w:rPr>
          <w:rFonts w:ascii="Arial" w:eastAsia="Times New Roman" w:hAnsi="Arial" w:cs="Arial"/>
          <w:sz w:val="24"/>
          <w:szCs w:val="24"/>
        </w:rPr>
        <w:t>worse case</w:t>
      </w:r>
      <w:proofErr w:type="spellEnd"/>
      <w:r w:rsidRPr="00230869">
        <w:rPr>
          <w:rFonts w:ascii="Arial" w:eastAsia="Times New Roman" w:hAnsi="Arial" w:cs="Arial"/>
          <w:sz w:val="24"/>
          <w:szCs w:val="24"/>
        </w:rPr>
        <w:t xml:space="preserve"> scenario discharge planning volume of 94,000 to 20 million gallons</w:t>
      </w:r>
      <w:proofErr w:type="gramStart"/>
      <w:r w:rsidRPr="00230869">
        <w:rPr>
          <w:rFonts w:ascii="Arial" w:eastAsia="Times New Roman" w:hAnsi="Arial" w:cs="Arial"/>
          <w:sz w:val="24"/>
          <w:szCs w:val="24"/>
        </w:rPr>
        <w:t>.  </w:t>
      </w:r>
      <w:proofErr w:type="gramEnd"/>
      <w:r w:rsidRPr="00230869">
        <w:rPr>
          <w:rFonts w:ascii="Arial" w:eastAsia="Times New Roman" w:hAnsi="Arial" w:cs="Arial"/>
          <w:sz w:val="24"/>
          <w:szCs w:val="24"/>
        </w:rPr>
        <w:t>EPA found an average of 4 issues per plan.</w:t>
      </w:r>
    </w:p>
    <w:p w14:paraId="51E1735B" w14:textId="77777777" w:rsidR="00230869" w:rsidRDefault="00230869" w:rsidP="00230869">
      <w:pPr>
        <w:rPr>
          <w:rFonts w:ascii="Arial" w:eastAsia="Times New Roman" w:hAnsi="Arial" w:cs="Arial"/>
          <w:b/>
          <w:bCs/>
          <w:color w:val="C10538"/>
          <w:sz w:val="24"/>
          <w:szCs w:val="24"/>
        </w:rPr>
      </w:pPr>
    </w:p>
    <w:p w14:paraId="5324B92E" w14:textId="51135175" w:rsidR="00230869" w:rsidRDefault="00230869" w:rsidP="00230869">
      <w:pPr>
        <w:rPr>
          <w:rFonts w:ascii="Arial" w:eastAsia="Times New Roman" w:hAnsi="Arial" w:cs="Arial"/>
          <w:b/>
          <w:bCs/>
          <w:color w:val="C10538"/>
          <w:sz w:val="24"/>
          <w:szCs w:val="24"/>
        </w:rPr>
      </w:pPr>
      <w:r w:rsidRPr="00230869">
        <w:rPr>
          <w:rFonts w:ascii="Arial" w:eastAsia="Times New Roman" w:hAnsi="Arial" w:cs="Arial"/>
          <w:b/>
          <w:bCs/>
          <w:color w:val="C10538"/>
          <w:sz w:val="24"/>
          <w:szCs w:val="24"/>
        </w:rPr>
        <w:t>Top 4 Facility Response Plan Deficiencies (in Order)</w:t>
      </w:r>
    </w:p>
    <w:p w14:paraId="6D28E8D1" w14:textId="77777777" w:rsidR="00230869" w:rsidRPr="00230869" w:rsidRDefault="00230869" w:rsidP="00230869">
      <w:pPr>
        <w:rPr>
          <w:rFonts w:ascii="Arial" w:eastAsia="Times New Roman" w:hAnsi="Arial" w:cs="Arial"/>
          <w:sz w:val="24"/>
          <w:szCs w:val="24"/>
        </w:rPr>
      </w:pPr>
    </w:p>
    <w:p w14:paraId="42E0EDC8" w14:textId="77777777" w:rsidR="00230869" w:rsidRPr="00230869" w:rsidRDefault="00230869" w:rsidP="00230869">
      <w:pPr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230869">
        <w:rPr>
          <w:rFonts w:ascii="Arial" w:eastAsia="Times New Roman" w:hAnsi="Arial" w:cs="Arial"/>
          <w:sz w:val="24"/>
          <w:szCs w:val="24"/>
        </w:rPr>
        <w:t>Diagrams (1.9) – 31 of the 55 had this deficiency</w:t>
      </w:r>
    </w:p>
    <w:p w14:paraId="4A0EE3DA" w14:textId="77777777" w:rsidR="00230869" w:rsidRPr="00230869" w:rsidRDefault="00230869" w:rsidP="00230869">
      <w:pPr>
        <w:numPr>
          <w:ilvl w:val="1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230869">
        <w:rPr>
          <w:rFonts w:ascii="Arial" w:eastAsia="Times New Roman" w:hAnsi="Arial" w:cs="Arial"/>
          <w:sz w:val="24"/>
          <w:szCs w:val="24"/>
        </w:rPr>
        <w:t xml:space="preserve">This includes site </w:t>
      </w:r>
      <w:proofErr w:type="gramStart"/>
      <w:r w:rsidRPr="00230869">
        <w:rPr>
          <w:rFonts w:ascii="Arial" w:eastAsia="Times New Roman" w:hAnsi="Arial" w:cs="Arial"/>
          <w:sz w:val="24"/>
          <w:szCs w:val="24"/>
        </w:rPr>
        <w:t>plans,</w:t>
      </w:r>
      <w:proofErr w:type="gramEnd"/>
      <w:r w:rsidRPr="00230869">
        <w:rPr>
          <w:rFonts w:ascii="Arial" w:eastAsia="Times New Roman" w:hAnsi="Arial" w:cs="Arial"/>
          <w:sz w:val="24"/>
          <w:szCs w:val="24"/>
        </w:rPr>
        <w:t xml:space="preserve"> evacuation plans and drainage diagrams.</w:t>
      </w:r>
    </w:p>
    <w:p w14:paraId="38480600" w14:textId="77777777" w:rsidR="00230869" w:rsidRPr="00230869" w:rsidRDefault="00230869" w:rsidP="00230869">
      <w:pPr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230869">
        <w:rPr>
          <w:rFonts w:ascii="Arial" w:eastAsia="Times New Roman" w:hAnsi="Arial" w:cs="Arial"/>
          <w:sz w:val="24"/>
          <w:szCs w:val="24"/>
        </w:rPr>
        <w:t>Discharge Scenarios (1.5)</w:t>
      </w:r>
    </w:p>
    <w:p w14:paraId="3E1B05BE" w14:textId="77777777" w:rsidR="00230869" w:rsidRPr="00230869" w:rsidRDefault="00230869" w:rsidP="00230869">
      <w:pPr>
        <w:numPr>
          <w:ilvl w:val="1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230869">
        <w:rPr>
          <w:rFonts w:ascii="Arial" w:eastAsia="Times New Roman" w:hAnsi="Arial" w:cs="Arial"/>
          <w:sz w:val="24"/>
          <w:szCs w:val="24"/>
        </w:rPr>
        <w:t>This includes discussion and plans for worse-case discharge.</w:t>
      </w:r>
    </w:p>
    <w:p w14:paraId="2DB81866" w14:textId="77777777" w:rsidR="00230869" w:rsidRPr="00230869" w:rsidRDefault="00230869" w:rsidP="00230869">
      <w:pPr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230869">
        <w:rPr>
          <w:rFonts w:ascii="Arial" w:eastAsia="Times New Roman" w:hAnsi="Arial" w:cs="Arial"/>
          <w:sz w:val="24"/>
          <w:szCs w:val="24"/>
        </w:rPr>
        <w:t>Vulnerability Analysis; Hazard Evaluation (1.4. 2 and 1.4)</w:t>
      </w:r>
    </w:p>
    <w:p w14:paraId="0A8CDABF" w14:textId="77777777" w:rsidR="00230869" w:rsidRPr="00230869" w:rsidRDefault="00230869" w:rsidP="00230869">
      <w:pPr>
        <w:numPr>
          <w:ilvl w:val="1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230869">
        <w:rPr>
          <w:rFonts w:ascii="Arial" w:eastAsia="Times New Roman" w:hAnsi="Arial" w:cs="Arial"/>
          <w:sz w:val="24"/>
          <w:szCs w:val="24"/>
        </w:rPr>
        <w:t>This would be spill history and analysis of discharge potential.</w:t>
      </w:r>
    </w:p>
    <w:p w14:paraId="58B0951F" w14:textId="77777777" w:rsidR="00230869" w:rsidRPr="00230869" w:rsidRDefault="00230869" w:rsidP="00230869">
      <w:pPr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230869">
        <w:rPr>
          <w:rFonts w:ascii="Arial" w:eastAsia="Times New Roman" w:hAnsi="Arial" w:cs="Arial"/>
          <w:sz w:val="24"/>
          <w:szCs w:val="24"/>
        </w:rPr>
        <w:t xml:space="preserve">Plan </w:t>
      </w:r>
      <w:proofErr w:type="gramStart"/>
      <w:r w:rsidRPr="00230869">
        <w:rPr>
          <w:rFonts w:ascii="Arial" w:eastAsia="Times New Roman" w:hAnsi="Arial" w:cs="Arial"/>
          <w:sz w:val="24"/>
          <w:szCs w:val="24"/>
        </w:rPr>
        <w:t>Implementation  (</w:t>
      </w:r>
      <w:proofErr w:type="gramEnd"/>
      <w:r w:rsidRPr="00230869">
        <w:rPr>
          <w:rFonts w:ascii="Arial" w:eastAsia="Times New Roman" w:hAnsi="Arial" w:cs="Arial"/>
          <w:sz w:val="24"/>
          <w:szCs w:val="24"/>
        </w:rPr>
        <w:t>1.7)</w:t>
      </w:r>
    </w:p>
    <w:p w14:paraId="0955A7E6" w14:textId="557888AB" w:rsidR="00230869" w:rsidRDefault="00230869" w:rsidP="00230869">
      <w:pPr>
        <w:numPr>
          <w:ilvl w:val="1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230869">
        <w:rPr>
          <w:rFonts w:ascii="Arial" w:eastAsia="Times New Roman" w:hAnsi="Arial" w:cs="Arial"/>
          <w:sz w:val="24"/>
          <w:szCs w:val="24"/>
        </w:rPr>
        <w:t xml:space="preserve">This would be a description of containment and drainage </w:t>
      </w:r>
      <w:proofErr w:type="gramStart"/>
      <w:r w:rsidRPr="00230869">
        <w:rPr>
          <w:rFonts w:ascii="Arial" w:eastAsia="Times New Roman" w:hAnsi="Arial" w:cs="Arial"/>
          <w:sz w:val="24"/>
          <w:szCs w:val="24"/>
        </w:rPr>
        <w:t>planning,</w:t>
      </w:r>
      <w:proofErr w:type="gramEnd"/>
      <w:r w:rsidRPr="00230869">
        <w:rPr>
          <w:rFonts w:ascii="Arial" w:eastAsia="Times New Roman" w:hAnsi="Arial" w:cs="Arial"/>
          <w:sz w:val="24"/>
          <w:szCs w:val="24"/>
        </w:rPr>
        <w:t xml:space="preserve"> disposal plans and response resources.</w:t>
      </w:r>
    </w:p>
    <w:p w14:paraId="0C1FF3F2" w14:textId="77777777" w:rsidR="00230869" w:rsidRPr="00230869" w:rsidRDefault="00230869" w:rsidP="00230869">
      <w:pPr>
        <w:ind w:left="1080"/>
        <w:rPr>
          <w:rFonts w:ascii="Arial" w:eastAsia="Times New Roman" w:hAnsi="Arial" w:cs="Arial"/>
          <w:sz w:val="24"/>
          <w:szCs w:val="24"/>
        </w:rPr>
      </w:pPr>
    </w:p>
    <w:p w14:paraId="3616C9AB" w14:textId="40DE4D00" w:rsidR="00230869" w:rsidRDefault="00230869" w:rsidP="00230869">
      <w:pPr>
        <w:rPr>
          <w:rFonts w:ascii="Arial" w:eastAsia="Times New Roman" w:hAnsi="Arial" w:cs="Arial"/>
          <w:b/>
          <w:bCs/>
          <w:color w:val="C10538"/>
          <w:sz w:val="24"/>
          <w:szCs w:val="24"/>
        </w:rPr>
      </w:pPr>
      <w:r w:rsidRPr="00230869">
        <w:rPr>
          <w:rFonts w:ascii="Arial" w:eastAsia="Times New Roman" w:hAnsi="Arial" w:cs="Arial"/>
          <w:b/>
          <w:bCs/>
          <w:color w:val="C10538"/>
          <w:sz w:val="24"/>
          <w:szCs w:val="24"/>
        </w:rPr>
        <w:t>Other Issues Found</w:t>
      </w:r>
    </w:p>
    <w:p w14:paraId="2B3CDAC8" w14:textId="77777777" w:rsidR="00230869" w:rsidRPr="00230869" w:rsidRDefault="00230869" w:rsidP="00230869">
      <w:pPr>
        <w:rPr>
          <w:rFonts w:ascii="Arial" w:eastAsia="Times New Roman" w:hAnsi="Arial" w:cs="Arial"/>
          <w:sz w:val="24"/>
          <w:szCs w:val="24"/>
        </w:rPr>
      </w:pPr>
    </w:p>
    <w:p w14:paraId="234377EB" w14:textId="77777777" w:rsidR="00230869" w:rsidRPr="00230869" w:rsidRDefault="00230869" w:rsidP="00230869">
      <w:pPr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230869">
        <w:rPr>
          <w:rFonts w:ascii="Arial" w:eastAsia="Times New Roman" w:hAnsi="Arial" w:cs="Arial"/>
          <w:sz w:val="24"/>
          <w:szCs w:val="24"/>
        </w:rPr>
        <w:t>Lack of details about response equipment. (1.3, 1.3.2)</w:t>
      </w:r>
    </w:p>
    <w:p w14:paraId="6E5C4131" w14:textId="77777777" w:rsidR="00230869" w:rsidRPr="00230869" w:rsidRDefault="00230869" w:rsidP="00230869">
      <w:pPr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230869">
        <w:rPr>
          <w:rFonts w:ascii="Arial" w:eastAsia="Times New Roman" w:hAnsi="Arial" w:cs="Arial"/>
          <w:sz w:val="24"/>
          <w:szCs w:val="24"/>
        </w:rPr>
        <w:t>Companies didn't include key information from their Emergency Response Action Plans (ERAPs) (1.1)</w:t>
      </w:r>
    </w:p>
    <w:p w14:paraId="643DF84C" w14:textId="77777777" w:rsidR="00230869" w:rsidRPr="00230869" w:rsidRDefault="00230869" w:rsidP="00230869">
      <w:pPr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230869">
        <w:rPr>
          <w:rFonts w:ascii="Arial" w:eastAsia="Times New Roman" w:hAnsi="Arial" w:cs="Arial"/>
          <w:sz w:val="24"/>
          <w:szCs w:val="24"/>
        </w:rPr>
        <w:t>Not conducting required preparedness drills and exercises (1.8)</w:t>
      </w:r>
    </w:p>
    <w:p w14:paraId="386B736C" w14:textId="77777777" w:rsidR="00230869" w:rsidRPr="00230869" w:rsidRDefault="00230869" w:rsidP="00230869">
      <w:pPr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230869">
        <w:rPr>
          <w:rFonts w:ascii="Arial" w:eastAsia="Times New Roman" w:hAnsi="Arial" w:cs="Arial"/>
          <w:sz w:val="24"/>
          <w:szCs w:val="24"/>
        </w:rPr>
        <w:t>Not training personnel on appropriate oil spill response measures.</w:t>
      </w:r>
    </w:p>
    <w:p w14:paraId="5ACFAB17" w14:textId="77777777" w:rsidR="00230869" w:rsidRDefault="00230869" w:rsidP="00230869">
      <w:pPr>
        <w:rPr>
          <w:rFonts w:ascii="Arial" w:eastAsia="Times New Roman" w:hAnsi="Arial" w:cs="Arial"/>
          <w:sz w:val="24"/>
          <w:szCs w:val="24"/>
        </w:rPr>
      </w:pPr>
    </w:p>
    <w:p w14:paraId="2E02FF6F" w14:textId="6BE3874A" w:rsidR="00B61334" w:rsidRDefault="00230869">
      <w:r w:rsidRPr="00230869">
        <w:rPr>
          <w:rFonts w:ascii="Arial" w:eastAsia="Times New Roman" w:hAnsi="Arial" w:cs="Arial"/>
          <w:sz w:val="24"/>
          <w:szCs w:val="24"/>
        </w:rPr>
        <w:t>Do you have any of these issues with your own Facility Response Plan</w:t>
      </w:r>
      <w:proofErr w:type="gramStart"/>
      <w:r w:rsidRPr="00230869">
        <w:rPr>
          <w:rFonts w:ascii="Arial" w:eastAsia="Times New Roman" w:hAnsi="Arial" w:cs="Arial"/>
          <w:sz w:val="24"/>
          <w:szCs w:val="24"/>
        </w:rPr>
        <w:t xml:space="preserve">?  </w:t>
      </w:r>
      <w:proofErr w:type="gramEnd"/>
      <w:r w:rsidRPr="00230869">
        <w:rPr>
          <w:rFonts w:ascii="Arial" w:eastAsia="Times New Roman" w:hAnsi="Arial" w:cs="Arial"/>
          <w:sz w:val="24"/>
          <w:szCs w:val="24"/>
        </w:rPr>
        <w:t> Are you required to have an FRP</w:t>
      </w:r>
      <w:proofErr w:type="gramStart"/>
      <w:r w:rsidRPr="00230869">
        <w:rPr>
          <w:rFonts w:ascii="Arial" w:eastAsia="Times New Roman" w:hAnsi="Arial" w:cs="Arial"/>
          <w:sz w:val="24"/>
          <w:szCs w:val="24"/>
        </w:rPr>
        <w:t xml:space="preserve">?  </w:t>
      </w:r>
      <w:proofErr w:type="gramEnd"/>
      <w:r w:rsidRPr="00230869">
        <w:rPr>
          <w:rFonts w:ascii="Arial" w:eastAsia="Times New Roman" w:hAnsi="Arial" w:cs="Arial"/>
          <w:sz w:val="24"/>
          <w:szCs w:val="24"/>
        </w:rPr>
        <w:t>We can help</w:t>
      </w:r>
      <w:proofErr w:type="gramStart"/>
      <w:r w:rsidRPr="00230869">
        <w:rPr>
          <w:rFonts w:ascii="Arial" w:eastAsia="Times New Roman" w:hAnsi="Arial" w:cs="Arial"/>
          <w:sz w:val="24"/>
          <w:szCs w:val="24"/>
        </w:rPr>
        <w:t>!  </w:t>
      </w:r>
      <w:proofErr w:type="gramEnd"/>
      <w:r w:rsidRPr="00230869">
        <w:rPr>
          <w:rFonts w:ascii="Arial" w:eastAsia="Times New Roman" w:hAnsi="Arial" w:cs="Arial"/>
          <w:sz w:val="24"/>
          <w:szCs w:val="24"/>
        </w:rPr>
        <w:t>We can review your plan for compliance to these issues, prepare updates, or provide the required training or scenarios you need to conduct to your employees. </w:t>
      </w:r>
      <w:hyperlink r:id="rId7" w:history="1">
        <w:r w:rsidRPr="0023086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Contact us today</w:t>
        </w:r>
      </w:hyperlink>
      <w:r w:rsidRPr="00230869">
        <w:rPr>
          <w:rFonts w:ascii="Arial" w:eastAsia="Times New Roman" w:hAnsi="Arial" w:cs="Arial"/>
          <w:sz w:val="24"/>
          <w:szCs w:val="24"/>
        </w:rPr>
        <w:t>!</w:t>
      </w:r>
    </w:p>
    <w:sectPr w:rsidR="00B61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509F"/>
    <w:multiLevelType w:val="multilevel"/>
    <w:tmpl w:val="67A4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6A64"/>
    <w:multiLevelType w:val="multilevel"/>
    <w:tmpl w:val="8CFA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69"/>
    <w:rsid w:val="00230869"/>
    <w:rsid w:val="00B6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43E2"/>
  <w15:chartTrackingRefBased/>
  <w15:docId w15:val="{943655AF-239D-46A8-BA33-82D88490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8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sienvironmental.com/contact-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ienvironmental.com/spcc-plan-deficiencies-blog/" TargetMode="External"/><Relationship Id="rId5" Type="http://schemas.openxmlformats.org/officeDocument/2006/relationships/hyperlink" Target="https://isienvironmental.com/spcc-plan-blo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1</cp:revision>
  <dcterms:created xsi:type="dcterms:W3CDTF">2021-12-08T21:28:00Z</dcterms:created>
  <dcterms:modified xsi:type="dcterms:W3CDTF">2021-12-08T21:31:00Z</dcterms:modified>
</cp:coreProperties>
</file>