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54" w:rsidRPr="00ED2054" w:rsidRDefault="009F2FE0" w:rsidP="00ED2054">
      <w:pPr>
        <w:spacing w:after="0" w:line="24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Summary of Updates for the New</w:t>
      </w:r>
      <w:r w:rsidR="00ED2054" w:rsidRPr="00ED2054">
        <w:rPr>
          <w:b/>
          <w:sz w:val="32"/>
          <w:szCs w:val="24"/>
        </w:rPr>
        <w:t xml:space="preserve"> 2020 </w:t>
      </w:r>
      <w:r w:rsidR="00ED2054">
        <w:rPr>
          <w:b/>
          <w:sz w:val="32"/>
          <w:szCs w:val="24"/>
        </w:rPr>
        <w:t>Emergency Response Guidebook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Pr="00FE7C23" w:rsidRDefault="009F2FE0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new 2020 version of the </w:t>
      </w:r>
      <w:r w:rsidR="00FE7C23" w:rsidRPr="00FE7C23">
        <w:rPr>
          <w:sz w:val="24"/>
          <w:szCs w:val="24"/>
        </w:rPr>
        <w:t xml:space="preserve">Emergency Response Guidebook (ERG) </w:t>
      </w:r>
      <w:r w:rsidR="00B17DFA">
        <w:rPr>
          <w:sz w:val="24"/>
          <w:szCs w:val="24"/>
        </w:rPr>
        <w:t>is finally out, and hard copies are now available</w:t>
      </w:r>
      <w:r w:rsidR="00FE7C23" w:rsidRPr="00FE7C23">
        <w:rPr>
          <w:sz w:val="24"/>
          <w:szCs w:val="24"/>
        </w:rPr>
        <w:t>.  The</w:t>
      </w:r>
      <w:r w:rsidR="00B17DFA">
        <w:rPr>
          <w:sz w:val="24"/>
          <w:szCs w:val="24"/>
        </w:rPr>
        <w:t xml:space="preserve"> ERG is published every 4 years</w:t>
      </w:r>
      <w:r w:rsidR="00FE7C23" w:rsidRPr="00FE7C23">
        <w:rPr>
          <w:sz w:val="24"/>
          <w:szCs w:val="24"/>
        </w:rPr>
        <w:t>.</w:t>
      </w:r>
      <w:r w:rsidR="00ED2054">
        <w:rPr>
          <w:sz w:val="24"/>
          <w:szCs w:val="24"/>
        </w:rPr>
        <w:t xml:space="preserve">  </w:t>
      </w:r>
    </w:p>
    <w:p w:rsidR="00FE7C23" w:rsidRDefault="00FE7C23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Pr="00ED2054" w:rsidRDefault="00B241E6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>What is the ERG?</w:t>
      </w:r>
    </w:p>
    <w:p w:rsidR="00B241E6" w:rsidRPr="00FE7C23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Default="00FE7C23" w:rsidP="00ED2054">
      <w:pPr>
        <w:spacing w:after="0" w:line="240" w:lineRule="auto"/>
        <w:jc w:val="both"/>
        <w:rPr>
          <w:sz w:val="24"/>
          <w:szCs w:val="24"/>
        </w:rPr>
      </w:pPr>
      <w:r w:rsidRPr="00FE7C23">
        <w:rPr>
          <w:sz w:val="24"/>
          <w:szCs w:val="24"/>
        </w:rPr>
        <w:t xml:space="preserve">The ERG contains emergency response information and is a handbook used by emergency and hazardous materials incident responders, truck drivers, railroad personnel, pipeline personnel, pilots, police and firefighters.  It is written and updated by </w:t>
      </w:r>
      <w:r w:rsidR="00B17DFA">
        <w:rPr>
          <w:sz w:val="24"/>
          <w:szCs w:val="24"/>
        </w:rPr>
        <w:t>four</w:t>
      </w:r>
      <w:r w:rsidRPr="00FE7C23">
        <w:rPr>
          <w:sz w:val="24"/>
          <w:szCs w:val="24"/>
        </w:rPr>
        <w:t xml:space="preserve"> separate international </w:t>
      </w:r>
      <w:r w:rsidR="005738E0">
        <w:rPr>
          <w:sz w:val="24"/>
          <w:szCs w:val="24"/>
        </w:rPr>
        <w:t>agencies:</w:t>
      </w:r>
      <w:r w:rsidRPr="00FE7C23">
        <w:rPr>
          <w:sz w:val="24"/>
          <w:szCs w:val="24"/>
        </w:rPr>
        <w:t xml:space="preserve"> </w:t>
      </w:r>
    </w:p>
    <w:p w:rsidR="00FE7C23" w:rsidRPr="00FE7C23" w:rsidRDefault="00FE7C23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Pr="00FE7C23" w:rsidRDefault="005738E0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U.S. </w:t>
      </w:r>
      <w:r w:rsidR="00FE7C23" w:rsidRPr="00FE7C23">
        <w:rPr>
          <w:sz w:val="24"/>
          <w:szCs w:val="24"/>
        </w:rPr>
        <w:t>Department of Transportation’s Pipeline and Hazardous Materials Safety Administration (PHMSA)</w:t>
      </w:r>
    </w:p>
    <w:p w:rsidR="00FE7C23" w:rsidRP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>Transport Canada’s Canadian Transportation Emergency Centre (CANUTEC)</w:t>
      </w:r>
    </w:p>
    <w:p w:rsidR="00D379E6" w:rsidRP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 xml:space="preserve">Argentina’s Chemistry Information Center for Emergencies (CIQUIME) </w:t>
      </w:r>
    </w:p>
    <w:p w:rsid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>Mexico’s Secretariat of Communications and Transport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iSi</w:t>
      </w:r>
      <w:proofErr w:type="gramEnd"/>
      <w:r>
        <w:rPr>
          <w:sz w:val="24"/>
          <w:szCs w:val="24"/>
        </w:rPr>
        <w:t xml:space="preserve"> uses the ERG in our HAZWOPER training as well as our </w:t>
      </w:r>
      <w:r w:rsidR="00B17DFA">
        <w:rPr>
          <w:sz w:val="24"/>
          <w:szCs w:val="24"/>
        </w:rPr>
        <w:t xml:space="preserve">DOT Hazardous Materials Transportation, </w:t>
      </w:r>
      <w:r>
        <w:rPr>
          <w:sz w:val="24"/>
          <w:szCs w:val="24"/>
        </w:rPr>
        <w:t xml:space="preserve">Hazardous Waste Management and RCRA Refresher </w:t>
      </w:r>
      <w:r w:rsidR="00B17DFA">
        <w:rPr>
          <w:sz w:val="24"/>
          <w:szCs w:val="24"/>
        </w:rPr>
        <w:t xml:space="preserve">classes.  This is because </w:t>
      </w:r>
      <w:r>
        <w:rPr>
          <w:sz w:val="24"/>
          <w:szCs w:val="24"/>
        </w:rPr>
        <w:t xml:space="preserve">handling emergency spills are a component of </w:t>
      </w:r>
      <w:r w:rsidR="00B17DFA">
        <w:rPr>
          <w:sz w:val="24"/>
          <w:szCs w:val="24"/>
        </w:rPr>
        <w:t>all of these</w:t>
      </w:r>
      <w:r>
        <w:rPr>
          <w:sz w:val="24"/>
          <w:szCs w:val="24"/>
        </w:rPr>
        <w:t xml:space="preserve"> classes.</w:t>
      </w:r>
      <w:r w:rsidR="005738E0">
        <w:rPr>
          <w:sz w:val="24"/>
          <w:szCs w:val="24"/>
        </w:rPr>
        <w:t xml:space="preserve">  </w:t>
      </w:r>
    </w:p>
    <w:p w:rsidR="005738E0" w:rsidRDefault="005738E0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</w:p>
    <w:p w:rsidR="00D379E6" w:rsidRPr="00ED2054" w:rsidRDefault="008D2146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 xml:space="preserve">Planned </w:t>
      </w:r>
      <w:r w:rsidR="00B241E6" w:rsidRPr="00ED2054">
        <w:rPr>
          <w:b/>
          <w:color w:val="CC0000"/>
          <w:sz w:val="24"/>
          <w:szCs w:val="24"/>
        </w:rPr>
        <w:t>Updates</w:t>
      </w:r>
    </w:p>
    <w:p w:rsidR="00B241E6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B17DFA" w:rsidRDefault="00B241E6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5738E0">
        <w:rPr>
          <w:sz w:val="24"/>
          <w:szCs w:val="24"/>
        </w:rPr>
        <w:t xml:space="preserve"> </w:t>
      </w:r>
      <w:r w:rsidR="00B17DFA">
        <w:rPr>
          <w:sz w:val="24"/>
          <w:szCs w:val="24"/>
        </w:rPr>
        <w:t>four</w:t>
      </w:r>
      <w:r>
        <w:rPr>
          <w:sz w:val="24"/>
          <w:szCs w:val="24"/>
        </w:rPr>
        <w:t xml:space="preserve"> agencies have been </w:t>
      </w:r>
      <w:r w:rsidR="00B17DFA">
        <w:rPr>
          <w:sz w:val="24"/>
          <w:szCs w:val="24"/>
        </w:rPr>
        <w:t xml:space="preserve">working on this latest </w:t>
      </w:r>
      <w:r w:rsidR="005738E0">
        <w:rPr>
          <w:sz w:val="24"/>
          <w:szCs w:val="24"/>
        </w:rPr>
        <w:t>version since</w:t>
      </w:r>
      <w:r>
        <w:rPr>
          <w:sz w:val="24"/>
          <w:szCs w:val="24"/>
        </w:rPr>
        <w:t xml:space="preserve"> 2017.  In 2018, all of the agencies solicited input from the</w:t>
      </w:r>
      <w:r w:rsidR="005738E0">
        <w:rPr>
          <w:sz w:val="24"/>
          <w:szCs w:val="24"/>
        </w:rPr>
        <w:t>ir</w:t>
      </w:r>
      <w:r>
        <w:rPr>
          <w:sz w:val="24"/>
          <w:szCs w:val="24"/>
        </w:rPr>
        <w:t xml:space="preserve"> public through calls for comment, listening sessions, online surveys, and articles.  From these solicitations, 100 comments were </w:t>
      </w:r>
      <w:r w:rsidR="005738E0">
        <w:rPr>
          <w:sz w:val="24"/>
          <w:szCs w:val="24"/>
        </w:rPr>
        <w:t xml:space="preserve">gleaned to be considered for </w:t>
      </w:r>
      <w:r>
        <w:rPr>
          <w:sz w:val="24"/>
          <w:szCs w:val="24"/>
        </w:rPr>
        <w:t>incorporation</w:t>
      </w:r>
      <w:r w:rsidR="00B17DFA">
        <w:rPr>
          <w:sz w:val="24"/>
          <w:szCs w:val="24"/>
        </w:rPr>
        <w:t xml:space="preserve"> and DOT held a public meeting as well</w:t>
      </w:r>
      <w:r w:rsidR="005738E0">
        <w:rPr>
          <w:sz w:val="24"/>
          <w:szCs w:val="24"/>
        </w:rPr>
        <w:t xml:space="preserve">.  Since then, sub-groups </w:t>
      </w:r>
      <w:r w:rsidR="00B17DFA">
        <w:rPr>
          <w:sz w:val="24"/>
          <w:szCs w:val="24"/>
        </w:rPr>
        <w:t xml:space="preserve">worked on the updates. </w:t>
      </w:r>
      <w:r w:rsidR="005738E0">
        <w:rPr>
          <w:sz w:val="24"/>
          <w:szCs w:val="24"/>
        </w:rPr>
        <w:t xml:space="preserve">  </w:t>
      </w:r>
    </w:p>
    <w:p w:rsidR="00B17DFA" w:rsidRDefault="00B17DFA" w:rsidP="00ED2054">
      <w:pPr>
        <w:spacing w:after="0" w:line="240" w:lineRule="auto"/>
        <w:jc w:val="both"/>
        <w:rPr>
          <w:sz w:val="24"/>
          <w:szCs w:val="24"/>
        </w:rPr>
      </w:pPr>
    </w:p>
    <w:p w:rsidR="005738E0" w:rsidRDefault="00B241E6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B17DFA">
        <w:rPr>
          <w:sz w:val="24"/>
          <w:szCs w:val="24"/>
        </w:rPr>
        <w:t xml:space="preserve">is a list of the </w:t>
      </w:r>
      <w:r>
        <w:rPr>
          <w:sz w:val="24"/>
          <w:szCs w:val="24"/>
        </w:rPr>
        <w:t>planned changes and items</w:t>
      </w:r>
      <w:r w:rsidR="00B17DFA">
        <w:rPr>
          <w:sz w:val="24"/>
          <w:szCs w:val="24"/>
        </w:rPr>
        <w:t xml:space="preserve"> that were up for </w:t>
      </w:r>
      <w:r>
        <w:rPr>
          <w:sz w:val="24"/>
          <w:szCs w:val="24"/>
        </w:rPr>
        <w:t xml:space="preserve">review </w:t>
      </w:r>
      <w:r w:rsidR="0056444A">
        <w:rPr>
          <w:sz w:val="24"/>
          <w:szCs w:val="24"/>
        </w:rPr>
        <w:t xml:space="preserve">within each section of the book.  </w:t>
      </w:r>
    </w:p>
    <w:p w:rsidR="005738E0" w:rsidRDefault="005738E0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Default="0056444A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agencies will:</w:t>
      </w:r>
    </w:p>
    <w:p w:rsidR="00B241E6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Pr="00ED2054" w:rsidRDefault="00B241E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White Pages [General Information, Instructions, Recommendations, Guidance]</w:t>
      </w:r>
    </w:p>
    <w:p w:rsidR="00D379E6" w:rsidRDefault="00D379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B241E6" w:rsidRPr="008D2146" w:rsidRDefault="0056444A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Review c</w:t>
      </w:r>
      <w:r w:rsidR="00ED2054">
        <w:rPr>
          <w:sz w:val="24"/>
          <w:szCs w:val="24"/>
        </w:rPr>
        <w:t>ontent f</w:t>
      </w:r>
      <w:r w:rsidR="00B241E6" w:rsidRPr="008D2146">
        <w:rPr>
          <w:sz w:val="24"/>
          <w:szCs w:val="24"/>
        </w:rPr>
        <w:t>or use</w:t>
      </w:r>
      <w:r w:rsidR="007F229F" w:rsidRPr="008D2146">
        <w:rPr>
          <w:sz w:val="24"/>
          <w:szCs w:val="24"/>
        </w:rPr>
        <w:t xml:space="preserve"> of</w:t>
      </w:r>
      <w:r w:rsidR="00B241E6" w:rsidRPr="008D2146">
        <w:rPr>
          <w:sz w:val="24"/>
          <w:szCs w:val="24"/>
        </w:rPr>
        <w:t xml:space="preserve"> plain language</w:t>
      </w:r>
      <w:r w:rsidR="008D2146" w:rsidRPr="008D2146">
        <w:rPr>
          <w:sz w:val="24"/>
          <w:szCs w:val="24"/>
        </w:rPr>
        <w:t>;</w:t>
      </w:r>
    </w:p>
    <w:p w:rsidR="00B241E6" w:rsidRPr="008D2146" w:rsidRDefault="008D2146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 w:rsidRPr="008D2146">
        <w:rPr>
          <w:sz w:val="24"/>
          <w:szCs w:val="24"/>
        </w:rPr>
        <w:t>Improved q</w:t>
      </w:r>
      <w:r w:rsidR="007F229F" w:rsidRPr="008D2146">
        <w:rPr>
          <w:sz w:val="24"/>
          <w:szCs w:val="24"/>
        </w:rPr>
        <w:t xml:space="preserve">uality of illustrations </w:t>
      </w:r>
      <w:r w:rsidRPr="008D2146">
        <w:rPr>
          <w:sz w:val="24"/>
          <w:szCs w:val="24"/>
        </w:rPr>
        <w:t>in charts</w:t>
      </w:r>
      <w:r w:rsidR="002678E4">
        <w:rPr>
          <w:sz w:val="24"/>
          <w:szCs w:val="24"/>
        </w:rPr>
        <w:t xml:space="preserve"> for railcar and road trailer identification</w:t>
      </w:r>
      <w:r w:rsidRPr="008D2146">
        <w:rPr>
          <w:sz w:val="24"/>
          <w:szCs w:val="24"/>
        </w:rPr>
        <w:t>;</w:t>
      </w:r>
    </w:p>
    <w:p w:rsidR="008D2146" w:rsidRDefault="0056444A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8D2146" w:rsidRPr="008D2146">
        <w:rPr>
          <w:sz w:val="24"/>
          <w:szCs w:val="24"/>
        </w:rPr>
        <w:t>new lithium battery markings;</w:t>
      </w:r>
    </w:p>
    <w:p w:rsidR="002678E4" w:rsidRPr="008D2146" w:rsidRDefault="002678E4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New terms in the glossary section;</w:t>
      </w:r>
    </w:p>
    <w:p w:rsidR="008D2146" w:rsidRPr="008D2146" w:rsidRDefault="008D2146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 w:rsidRPr="008D2146">
        <w:rPr>
          <w:sz w:val="24"/>
          <w:szCs w:val="24"/>
        </w:rPr>
        <w:t>Add</w:t>
      </w:r>
      <w:r w:rsidR="0056444A">
        <w:rPr>
          <w:sz w:val="24"/>
          <w:szCs w:val="24"/>
        </w:rPr>
        <w:t xml:space="preserve"> </w:t>
      </w:r>
      <w:r w:rsidRPr="008D2146">
        <w:rPr>
          <w:sz w:val="24"/>
          <w:szCs w:val="24"/>
        </w:rPr>
        <w:t>a decontamination section; and,</w:t>
      </w:r>
    </w:p>
    <w:p w:rsidR="008D2146" w:rsidRDefault="00ED2054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 b</w:t>
      </w:r>
      <w:r w:rsidR="008D2146" w:rsidRPr="008D2146">
        <w:rPr>
          <w:sz w:val="24"/>
          <w:szCs w:val="24"/>
        </w:rPr>
        <w:t>asic information about heat induced tears (HIT).</w:t>
      </w:r>
    </w:p>
    <w:p w:rsidR="008D2146" w:rsidRDefault="008D214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8D2146" w:rsidRPr="00ED2054" w:rsidRDefault="008D214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Orange Pages [Response Guides]</w:t>
      </w:r>
    </w:p>
    <w:p w:rsidR="00B241E6" w:rsidRDefault="00B241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B241E6" w:rsidRDefault="0056444A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Comprehensively </w:t>
      </w:r>
      <w:r w:rsidR="00ED2054">
        <w:rPr>
          <w:sz w:val="24"/>
          <w:szCs w:val="24"/>
        </w:rPr>
        <w:t xml:space="preserve">review of all materials </w:t>
      </w:r>
      <w:r>
        <w:rPr>
          <w:sz w:val="24"/>
          <w:szCs w:val="24"/>
        </w:rPr>
        <w:t xml:space="preserve">and their assignments </w:t>
      </w:r>
      <w:r w:rsidR="00ED2054">
        <w:rPr>
          <w:sz w:val="24"/>
          <w:szCs w:val="24"/>
        </w:rPr>
        <w:t>in the orange pages</w:t>
      </w:r>
      <w:r w:rsidR="002678E4">
        <w:rPr>
          <w:sz w:val="24"/>
          <w:szCs w:val="24"/>
        </w:rPr>
        <w:t xml:space="preserve"> by FEMA/NFA</w:t>
      </w:r>
      <w:r w:rsidR="00ED2054">
        <w:rPr>
          <w:sz w:val="24"/>
          <w:szCs w:val="24"/>
        </w:rPr>
        <w:t>, with certain items up for review in 2020 while others will be reviewed before the 2024 version</w:t>
      </w:r>
      <w:r w:rsidR="008D2146" w:rsidRPr="008D2146">
        <w:rPr>
          <w:sz w:val="24"/>
          <w:szCs w:val="24"/>
        </w:rPr>
        <w:t>;</w:t>
      </w:r>
    </w:p>
    <w:p w:rsidR="002678E4" w:rsidRDefault="002678E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Distances in the Public Safety section are now in the Evacuation Section;</w:t>
      </w:r>
      <w:bookmarkStart w:id="0" w:name="_GoBack"/>
      <w:bookmarkEnd w:id="0"/>
    </w:p>
    <w:p w:rsidR="002678E4" w:rsidRDefault="002678E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Created a new “How to Use the Orange Guide Pages” section;</w:t>
      </w:r>
    </w:p>
    <w:p w:rsidR="002678E4" w:rsidRDefault="002678E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Guide 121 Gases – inert was merged with Guide 120 Gases – inert (including refrigerated liquids); </w:t>
      </w:r>
    </w:p>
    <w:p w:rsidR="002678E4" w:rsidRPr="008D2146" w:rsidRDefault="002678E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Added CAUTION sentences for specific materials;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Clarify sentences</w:t>
      </w:r>
      <w:r w:rsidR="008D2146" w:rsidRPr="008D2146">
        <w:rPr>
          <w:sz w:val="24"/>
          <w:szCs w:val="24"/>
        </w:rPr>
        <w:t>;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Address i</w:t>
      </w:r>
      <w:r w:rsidR="008D2146" w:rsidRPr="008D2146">
        <w:rPr>
          <w:sz w:val="24"/>
          <w:szCs w:val="24"/>
        </w:rPr>
        <w:t>nhalation concerns for petroleum crude oil (UN1267) in Guide 128; and,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Reeval</w:t>
      </w:r>
      <w:r w:rsidR="0056444A">
        <w:rPr>
          <w:sz w:val="24"/>
          <w:szCs w:val="24"/>
        </w:rPr>
        <w:t>uate</w:t>
      </w:r>
      <w:r>
        <w:rPr>
          <w:sz w:val="24"/>
          <w:szCs w:val="24"/>
        </w:rPr>
        <w:t xml:space="preserve"> r</w:t>
      </w:r>
      <w:r w:rsidR="008D2146" w:rsidRPr="008D2146">
        <w:rPr>
          <w:sz w:val="24"/>
          <w:szCs w:val="24"/>
        </w:rPr>
        <w:t>adioactive materials guides with radiological/nuclear regulatory agencies.</w:t>
      </w:r>
    </w:p>
    <w:p w:rsidR="00B241E6" w:rsidRPr="00FE7C23" w:rsidRDefault="00B241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8D2146" w:rsidRPr="00ED2054" w:rsidRDefault="008D214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 xml:space="preserve">Yellow/Blue Pages [Materials in </w:t>
      </w:r>
      <w:r w:rsidR="006C4ADA" w:rsidRPr="00ED2054">
        <w:rPr>
          <w:b/>
          <w:sz w:val="24"/>
          <w:szCs w:val="24"/>
        </w:rPr>
        <w:t>ID</w:t>
      </w:r>
      <w:r w:rsidRPr="00ED2054">
        <w:rPr>
          <w:b/>
          <w:sz w:val="24"/>
          <w:szCs w:val="24"/>
        </w:rPr>
        <w:t>/</w:t>
      </w:r>
      <w:r w:rsidR="006C4ADA" w:rsidRPr="00ED2054">
        <w:rPr>
          <w:b/>
          <w:sz w:val="24"/>
          <w:szCs w:val="24"/>
        </w:rPr>
        <w:t>Name of Material Order</w:t>
      </w:r>
      <w:r w:rsidRPr="00ED2054">
        <w:rPr>
          <w:b/>
          <w:sz w:val="24"/>
          <w:szCs w:val="24"/>
        </w:rPr>
        <w:t>]</w:t>
      </w:r>
    </w:p>
    <w:p w:rsidR="008D2146" w:rsidRDefault="008D214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or remove </w:t>
      </w:r>
      <w:r w:rsidR="00ED2054" w:rsidRPr="00ED2054">
        <w:rPr>
          <w:sz w:val="24"/>
          <w:szCs w:val="24"/>
        </w:rPr>
        <w:t xml:space="preserve">UN numbers </w:t>
      </w:r>
      <w:r w:rsidR="006C4ADA" w:rsidRPr="00ED2054">
        <w:rPr>
          <w:sz w:val="24"/>
          <w:szCs w:val="24"/>
        </w:rPr>
        <w:t>to align with United Nations Model regulations and North American regulations;</w:t>
      </w:r>
    </w:p>
    <w:p w:rsidR="002678E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Remove UN numbers for c</w:t>
      </w:r>
      <w:r w:rsidR="006C4ADA" w:rsidRPr="00ED2054">
        <w:rPr>
          <w:sz w:val="24"/>
          <w:szCs w:val="24"/>
        </w:rPr>
        <w:t>hemical warfare agents;</w:t>
      </w:r>
    </w:p>
    <w:p w:rsidR="006C4ADA" w:rsidRPr="00ED2054" w:rsidRDefault="002678E4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Reevaluated guide assignments for some materials;</w:t>
      </w:r>
      <w:r w:rsidR="006C4ADA" w:rsidRPr="00ED2054">
        <w:rPr>
          <w:sz w:val="24"/>
          <w:szCs w:val="24"/>
        </w:rPr>
        <w:t xml:space="preserve"> and,</w:t>
      </w:r>
    </w:p>
    <w:p w:rsidR="006C4ADA" w:rsidRPr="00ED205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Review p</w:t>
      </w:r>
      <w:r w:rsidR="006C4ADA" w:rsidRPr="00ED2054">
        <w:rPr>
          <w:sz w:val="24"/>
          <w:szCs w:val="24"/>
        </w:rPr>
        <w:t>olymerization hazard</w:t>
      </w:r>
      <w:r w:rsidR="00ED2054" w:rsidRPr="00ED2054">
        <w:rPr>
          <w:sz w:val="24"/>
          <w:szCs w:val="24"/>
        </w:rPr>
        <w:t>s</w:t>
      </w:r>
      <w:r w:rsidR="006C4ADA" w:rsidRPr="00ED2054">
        <w:rPr>
          <w:sz w:val="24"/>
          <w:szCs w:val="24"/>
        </w:rPr>
        <w:t xml:space="preserve"> for certain materials.</w:t>
      </w:r>
    </w:p>
    <w:p w:rsidR="006C4ADA" w:rsidRDefault="006C4ADA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6C4ADA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Green Pages [Isolation and Protective Action Distances]</w:t>
      </w:r>
    </w:p>
    <w:p w:rsidR="006C4ADA" w:rsidRDefault="006C4ADA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ED2054">
        <w:rPr>
          <w:sz w:val="24"/>
          <w:szCs w:val="24"/>
        </w:rPr>
        <w:t xml:space="preserve"> d</w:t>
      </w:r>
      <w:r w:rsidR="006C4ADA" w:rsidRPr="00ED2054">
        <w:rPr>
          <w:sz w:val="24"/>
          <w:szCs w:val="24"/>
        </w:rPr>
        <w:t xml:space="preserve">istances for new Poison Inhalation Hazard/Toxic Inhalation Hazard materials </w:t>
      </w:r>
      <w:r w:rsidR="00ED2054" w:rsidRPr="00ED2054">
        <w:rPr>
          <w:sz w:val="24"/>
          <w:szCs w:val="24"/>
        </w:rPr>
        <w:t>added by regulations</w:t>
      </w:r>
      <w:r w:rsidR="00ED2054">
        <w:rPr>
          <w:sz w:val="24"/>
          <w:szCs w:val="24"/>
        </w:rPr>
        <w:t>;</w:t>
      </w:r>
    </w:p>
    <w:p w:rsidR="00ED2054" w:rsidRPr="00ED2054" w:rsidRDefault="00ED2054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ED2054">
        <w:rPr>
          <w:sz w:val="24"/>
          <w:szCs w:val="24"/>
        </w:rPr>
        <w:t>Revis</w:t>
      </w:r>
      <w:r w:rsidR="0056444A">
        <w:rPr>
          <w:sz w:val="24"/>
          <w:szCs w:val="24"/>
        </w:rPr>
        <w:t>e</w:t>
      </w:r>
      <w:r w:rsidRPr="00ED2054">
        <w:rPr>
          <w:sz w:val="24"/>
          <w:szCs w:val="24"/>
        </w:rPr>
        <w:t xml:space="preserve"> Table 2 introduction</w:t>
      </w:r>
      <w:r w:rsidR="0056444A">
        <w:rPr>
          <w:sz w:val="24"/>
          <w:szCs w:val="24"/>
        </w:rPr>
        <w:t>;</w:t>
      </w:r>
    </w:p>
    <w:p w:rsidR="00ED2054" w:rsidRPr="00ED2054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ED2054">
        <w:rPr>
          <w:sz w:val="24"/>
          <w:szCs w:val="24"/>
        </w:rPr>
        <w:t xml:space="preserve"> </w:t>
      </w:r>
      <w:r w:rsidR="00ED2054" w:rsidRPr="00ED2054">
        <w:rPr>
          <w:sz w:val="24"/>
          <w:szCs w:val="24"/>
        </w:rPr>
        <w:t>container capacities to Table 3</w:t>
      </w:r>
      <w:r>
        <w:rPr>
          <w:sz w:val="24"/>
          <w:szCs w:val="24"/>
        </w:rPr>
        <w:t>;</w:t>
      </w:r>
    </w:p>
    <w:p w:rsidR="0056444A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Make a n</w:t>
      </w:r>
      <w:r w:rsidR="00ED2054">
        <w:rPr>
          <w:sz w:val="24"/>
          <w:szCs w:val="24"/>
        </w:rPr>
        <w:t xml:space="preserve">ew </w:t>
      </w:r>
      <w:r w:rsidR="00ED2054" w:rsidRPr="00ED2054">
        <w:rPr>
          <w:sz w:val="24"/>
          <w:szCs w:val="24"/>
        </w:rPr>
        <w:t>border to differen</w:t>
      </w:r>
      <w:r w:rsidR="00ED2054">
        <w:rPr>
          <w:sz w:val="24"/>
          <w:szCs w:val="24"/>
        </w:rPr>
        <w:t>tiate between Tables 1, 2 and 3;</w:t>
      </w:r>
      <w:r w:rsidR="00ED2054" w:rsidRPr="00ED2054">
        <w:rPr>
          <w:sz w:val="24"/>
          <w:szCs w:val="24"/>
        </w:rPr>
        <w:t xml:space="preserve"> and,</w:t>
      </w:r>
    </w:p>
    <w:p w:rsidR="006C4ADA" w:rsidRPr="0056444A" w:rsidRDefault="006C4AD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9F2FE0">
        <w:rPr>
          <w:sz w:val="24"/>
          <w:szCs w:val="24"/>
        </w:rPr>
        <w:t xml:space="preserve">Argonne National Laboratory will update the </w:t>
      </w:r>
      <w:r w:rsidR="009F2FE0" w:rsidRPr="009F2FE0">
        <w:rPr>
          <w:color w:val="000000"/>
          <w:sz w:val="24"/>
          <w:szCs w:val="24"/>
          <w:shd w:val="clear" w:color="auto" w:fill="FFFFFF"/>
        </w:rPr>
        <w:t>Chemical Accident Statistical Risk Assessment Model</w:t>
      </w:r>
      <w:r w:rsidR="009F2FE0" w:rsidRPr="009F2FE0">
        <w:rPr>
          <w:color w:val="000000"/>
          <w:sz w:val="24"/>
          <w:szCs w:val="24"/>
          <w:shd w:val="clear" w:color="auto" w:fill="FFFFFF"/>
        </w:rPr>
        <w:t xml:space="preserve"> (</w:t>
      </w:r>
      <w:r w:rsidRPr="009F2FE0">
        <w:rPr>
          <w:sz w:val="24"/>
          <w:szCs w:val="24"/>
        </w:rPr>
        <w:t>CASRAM</w:t>
      </w:r>
      <w:r w:rsidR="009F2FE0" w:rsidRPr="009F2FE0">
        <w:rPr>
          <w:sz w:val="24"/>
          <w:szCs w:val="24"/>
        </w:rPr>
        <w:t>)</w:t>
      </w:r>
      <w:r w:rsidRPr="0056444A">
        <w:rPr>
          <w:sz w:val="24"/>
          <w:szCs w:val="24"/>
        </w:rPr>
        <w:t xml:space="preserve"> with outcomes from field and lab experiments</w:t>
      </w:r>
      <w:r w:rsidR="00ED2054" w:rsidRPr="0056444A">
        <w:rPr>
          <w:sz w:val="24"/>
          <w:szCs w:val="24"/>
        </w:rPr>
        <w:t>.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6C4ADA" w:rsidRPr="00ED2054" w:rsidRDefault="00ED2054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 xml:space="preserve">Where </w:t>
      </w:r>
      <w:r w:rsidR="0056444A">
        <w:rPr>
          <w:b/>
          <w:color w:val="CC0000"/>
          <w:sz w:val="24"/>
          <w:szCs w:val="24"/>
        </w:rPr>
        <w:t xml:space="preserve">Can the Current </w:t>
      </w:r>
      <w:r w:rsidRPr="00ED2054">
        <w:rPr>
          <w:b/>
          <w:color w:val="CC0000"/>
          <w:sz w:val="24"/>
          <w:szCs w:val="24"/>
        </w:rPr>
        <w:t xml:space="preserve">ERG </w:t>
      </w:r>
      <w:r w:rsidR="0056444A">
        <w:rPr>
          <w:b/>
          <w:color w:val="CC0000"/>
          <w:sz w:val="24"/>
          <w:szCs w:val="24"/>
        </w:rPr>
        <w:t xml:space="preserve">Be </w:t>
      </w:r>
      <w:r w:rsidRPr="00ED2054">
        <w:rPr>
          <w:b/>
          <w:color w:val="CC0000"/>
          <w:sz w:val="24"/>
          <w:szCs w:val="24"/>
        </w:rPr>
        <w:t>Found?</w:t>
      </w:r>
    </w:p>
    <w:p w:rsidR="006C4ADA" w:rsidRDefault="006C4ADA" w:rsidP="00ED2054">
      <w:pPr>
        <w:spacing w:after="0" w:line="240" w:lineRule="auto"/>
        <w:jc w:val="both"/>
        <w:rPr>
          <w:sz w:val="24"/>
          <w:szCs w:val="24"/>
        </w:rPr>
      </w:pPr>
    </w:p>
    <w:p w:rsidR="00050047" w:rsidRPr="00FE7C23" w:rsidRDefault="00D379E6" w:rsidP="00ED2054">
      <w:pPr>
        <w:spacing w:after="0" w:line="240" w:lineRule="auto"/>
        <w:jc w:val="both"/>
        <w:rPr>
          <w:sz w:val="24"/>
          <w:szCs w:val="24"/>
        </w:rPr>
      </w:pPr>
      <w:r w:rsidRPr="00FE7C23">
        <w:rPr>
          <w:sz w:val="24"/>
          <w:szCs w:val="24"/>
        </w:rPr>
        <w:t>A free PDF version of the</w:t>
      </w:r>
      <w:r w:rsidR="00FE7C23">
        <w:rPr>
          <w:sz w:val="24"/>
          <w:szCs w:val="24"/>
        </w:rPr>
        <w:t xml:space="preserve"> current</w:t>
      </w:r>
      <w:r w:rsidRPr="00FE7C23">
        <w:rPr>
          <w:sz w:val="24"/>
          <w:szCs w:val="24"/>
        </w:rPr>
        <w:t xml:space="preserve"> Emergency Response </w:t>
      </w:r>
      <w:r w:rsidR="00B17DFA">
        <w:rPr>
          <w:sz w:val="24"/>
          <w:szCs w:val="24"/>
        </w:rPr>
        <w:t>Guidebook is available online on the</w:t>
      </w:r>
      <w:r w:rsidRPr="00FE7C23">
        <w:rPr>
          <w:sz w:val="24"/>
          <w:szCs w:val="24"/>
        </w:rPr>
        <w:t xml:space="preserve"> </w:t>
      </w:r>
      <w:hyperlink r:id="rId5" w:history="1">
        <w:r w:rsidR="00B17DFA">
          <w:rPr>
            <w:rStyle w:val="Hyperlink"/>
          </w:rPr>
          <w:t>PHMSA website</w:t>
        </w:r>
      </w:hyperlink>
      <w:r w:rsidR="00FE7C23">
        <w:rPr>
          <w:sz w:val="24"/>
          <w:szCs w:val="24"/>
        </w:rPr>
        <w:t xml:space="preserve">. </w:t>
      </w:r>
      <w:r w:rsidRPr="00FE7C23">
        <w:rPr>
          <w:sz w:val="24"/>
          <w:szCs w:val="24"/>
        </w:rPr>
        <w:t xml:space="preserve">There’s also a </w:t>
      </w:r>
      <w:hyperlink r:id="rId6" w:history="1">
        <w:r w:rsidRPr="00FE7C23">
          <w:rPr>
            <w:rStyle w:val="Hyperlink"/>
            <w:sz w:val="24"/>
            <w:szCs w:val="24"/>
          </w:rPr>
          <w:t>mobile app</w:t>
        </w:r>
      </w:hyperlink>
      <w:r w:rsidRPr="00FE7C23">
        <w:rPr>
          <w:sz w:val="24"/>
          <w:szCs w:val="24"/>
        </w:rPr>
        <w:t xml:space="preserve"> for the guide available for both Android and iP</w:t>
      </w:r>
      <w:r w:rsidR="00B241E6">
        <w:rPr>
          <w:sz w:val="24"/>
          <w:szCs w:val="24"/>
        </w:rPr>
        <w:t>h</w:t>
      </w:r>
      <w:r w:rsidRPr="00FE7C23">
        <w:rPr>
          <w:sz w:val="24"/>
          <w:szCs w:val="24"/>
        </w:rPr>
        <w:t xml:space="preserve">one devices.  </w:t>
      </w:r>
      <w:r w:rsidR="00ED2054">
        <w:rPr>
          <w:sz w:val="24"/>
          <w:szCs w:val="24"/>
        </w:rPr>
        <w:t xml:space="preserve">  If you’d like to pur</w:t>
      </w:r>
      <w:r w:rsidR="00B17DFA">
        <w:rPr>
          <w:sz w:val="24"/>
          <w:szCs w:val="24"/>
        </w:rPr>
        <w:t xml:space="preserve">chase a hard copy for your use, check out the </w:t>
      </w:r>
      <w:hyperlink r:id="rId7" w:history="1">
        <w:r w:rsidR="00B17DFA" w:rsidRPr="00B17DFA">
          <w:rPr>
            <w:rStyle w:val="Hyperlink"/>
            <w:sz w:val="24"/>
            <w:szCs w:val="24"/>
          </w:rPr>
          <w:t>iSi online store</w:t>
        </w:r>
      </w:hyperlink>
      <w:r w:rsidR="00B17DFA">
        <w:rPr>
          <w:sz w:val="24"/>
          <w:szCs w:val="24"/>
        </w:rPr>
        <w:t>.</w:t>
      </w:r>
    </w:p>
    <w:sectPr w:rsidR="00050047" w:rsidRPr="00FE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20D"/>
    <w:multiLevelType w:val="hybridMultilevel"/>
    <w:tmpl w:val="FA30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0392"/>
    <w:multiLevelType w:val="hybridMultilevel"/>
    <w:tmpl w:val="306E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B7593"/>
    <w:multiLevelType w:val="hybridMultilevel"/>
    <w:tmpl w:val="B96A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6122"/>
    <w:multiLevelType w:val="hybridMultilevel"/>
    <w:tmpl w:val="6774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04859"/>
    <w:multiLevelType w:val="hybridMultilevel"/>
    <w:tmpl w:val="747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6"/>
    <w:rsid w:val="00050047"/>
    <w:rsid w:val="002678E4"/>
    <w:rsid w:val="0056444A"/>
    <w:rsid w:val="005738E0"/>
    <w:rsid w:val="006C4ADA"/>
    <w:rsid w:val="00707B6F"/>
    <w:rsid w:val="007F229F"/>
    <w:rsid w:val="008D2146"/>
    <w:rsid w:val="009F2FE0"/>
    <w:rsid w:val="00B17DFA"/>
    <w:rsid w:val="00B241E6"/>
    <w:rsid w:val="00C224F1"/>
    <w:rsid w:val="00D379E6"/>
    <w:rsid w:val="00ED2054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BC74"/>
  <w15:chartTrackingRefBased/>
  <w15:docId w15:val="{BBEE2198-94A3-48B6-83E4-E6758B95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isienvironmental.com/collection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msa.dot.gov/hazmat/erg/erg2016-mobileapp" TargetMode="External"/><Relationship Id="rId5" Type="http://schemas.openxmlformats.org/officeDocument/2006/relationships/hyperlink" Target="https://www.phmsa.dot.gov/hazmat/erg/emergency-response-guidebook-e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2020-10-28T15:55:00Z</dcterms:created>
  <dcterms:modified xsi:type="dcterms:W3CDTF">2020-10-28T16:38:00Z</dcterms:modified>
</cp:coreProperties>
</file>