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0C" w:rsidRPr="00C325AC" w:rsidRDefault="007C680C" w:rsidP="007C680C">
      <w:pPr>
        <w:rPr>
          <w:rFonts w:ascii="Calibri" w:hAnsi="Calibri" w:cs="Calibri"/>
          <w:b/>
          <w:sz w:val="32"/>
        </w:rPr>
      </w:pPr>
      <w:r w:rsidRPr="00C325AC">
        <w:rPr>
          <w:rFonts w:ascii="Calibri" w:hAnsi="Calibri" w:cs="Calibri"/>
          <w:b/>
          <w:sz w:val="32"/>
        </w:rPr>
        <w:t>Fall Protection Requirements Updated</w:t>
      </w:r>
    </w:p>
    <w:p w:rsidR="007C680C" w:rsidRPr="00C325AC" w:rsidRDefault="005650F0" w:rsidP="007C680C">
      <w:pPr>
        <w:rPr>
          <w:rFonts w:ascii="Calibri" w:hAnsi="Calibri" w:cs="Calibri"/>
          <w:i/>
          <w:sz w:val="28"/>
        </w:rPr>
      </w:pPr>
      <w:r>
        <w:rPr>
          <w:rFonts w:ascii="Calibri" w:hAnsi="Calibri" w:cs="Calibri"/>
          <w:i/>
          <w:sz w:val="28"/>
        </w:rPr>
        <w:t>Walking-</w:t>
      </w:r>
      <w:r w:rsidR="007C680C" w:rsidRPr="00C325AC">
        <w:rPr>
          <w:rFonts w:ascii="Calibri" w:hAnsi="Calibri" w:cs="Calibri"/>
          <w:i/>
          <w:sz w:val="28"/>
        </w:rPr>
        <w:t xml:space="preserve">Working Surfaces Final Rule </w:t>
      </w:r>
      <w:r w:rsidR="00FA1C92">
        <w:rPr>
          <w:rFonts w:ascii="Calibri" w:hAnsi="Calibri" w:cs="Calibri"/>
          <w:i/>
          <w:sz w:val="28"/>
        </w:rPr>
        <w:t>for G</w:t>
      </w:r>
      <w:r w:rsidR="007C680C" w:rsidRPr="00C325AC">
        <w:rPr>
          <w:rFonts w:ascii="Calibri" w:hAnsi="Calibri" w:cs="Calibri"/>
          <w:i/>
          <w:sz w:val="28"/>
        </w:rPr>
        <w:t>eneral Industry</w:t>
      </w:r>
      <w:r w:rsidR="00FA1C92">
        <w:rPr>
          <w:rFonts w:ascii="Calibri" w:hAnsi="Calibri" w:cs="Calibri"/>
          <w:i/>
          <w:sz w:val="28"/>
        </w:rPr>
        <w:t xml:space="preserve"> Incorporates </w:t>
      </w:r>
      <w:r w:rsidR="007C680C" w:rsidRPr="00C325AC">
        <w:rPr>
          <w:rFonts w:ascii="Calibri" w:hAnsi="Calibri" w:cs="Calibri"/>
          <w:i/>
          <w:sz w:val="28"/>
        </w:rPr>
        <w:t>Construction</w:t>
      </w:r>
      <w:r>
        <w:rPr>
          <w:rFonts w:ascii="Calibri" w:hAnsi="Calibri" w:cs="Calibri"/>
          <w:i/>
          <w:sz w:val="28"/>
        </w:rPr>
        <w:t xml:space="preserve"> Standards</w:t>
      </w:r>
      <w:r w:rsidR="007C680C" w:rsidRPr="00C325AC">
        <w:rPr>
          <w:rFonts w:ascii="Calibri" w:hAnsi="Calibri" w:cs="Calibri"/>
          <w:i/>
          <w:sz w:val="28"/>
        </w:rPr>
        <w:t xml:space="preserve"> </w:t>
      </w:r>
    </w:p>
    <w:p w:rsidR="007C680C" w:rsidRDefault="007C680C" w:rsidP="007C680C">
      <w:pPr>
        <w:rPr>
          <w:rFonts w:ascii="Calibri" w:hAnsi="Calibri" w:cs="Calibri"/>
        </w:rPr>
      </w:pPr>
    </w:p>
    <w:p w:rsidR="00876E56" w:rsidRPr="00C325AC" w:rsidRDefault="003D4333" w:rsidP="00876E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Occupational Safety and Health Administration (</w:t>
      </w:r>
      <w:r w:rsidR="007C680C" w:rsidRPr="00C325AC">
        <w:rPr>
          <w:rFonts w:ascii="Arial" w:hAnsi="Arial" w:cs="Arial"/>
        </w:rPr>
        <w:t>OSHA</w:t>
      </w:r>
      <w:r>
        <w:rPr>
          <w:rFonts w:ascii="Arial" w:hAnsi="Arial" w:cs="Arial"/>
        </w:rPr>
        <w:t>)</w:t>
      </w:r>
      <w:r w:rsidR="007C680C" w:rsidRPr="00C325AC">
        <w:rPr>
          <w:rFonts w:ascii="Arial" w:hAnsi="Arial" w:cs="Arial"/>
        </w:rPr>
        <w:t xml:space="preserve"> </w:t>
      </w:r>
      <w:r w:rsidR="0045093B" w:rsidRPr="00C325AC">
        <w:rPr>
          <w:rFonts w:ascii="Arial" w:hAnsi="Arial" w:cs="Arial"/>
        </w:rPr>
        <w:t xml:space="preserve">has </w:t>
      </w:r>
      <w:r w:rsidR="00FA1C92">
        <w:rPr>
          <w:rFonts w:ascii="Arial" w:hAnsi="Arial" w:cs="Arial"/>
        </w:rPr>
        <w:t xml:space="preserve">incorporated Construction standards into the General Industry </w:t>
      </w:r>
      <w:r w:rsidR="007C680C" w:rsidRPr="00C325AC">
        <w:rPr>
          <w:rFonts w:ascii="Arial" w:hAnsi="Arial" w:cs="Arial"/>
        </w:rPr>
        <w:t>Walking</w:t>
      </w:r>
      <w:r w:rsidR="002E28D0">
        <w:rPr>
          <w:rFonts w:ascii="Arial" w:hAnsi="Arial" w:cs="Arial"/>
        </w:rPr>
        <w:t>-</w:t>
      </w:r>
      <w:r w:rsidR="007C680C" w:rsidRPr="00C325AC">
        <w:rPr>
          <w:rFonts w:ascii="Arial" w:hAnsi="Arial" w:cs="Arial"/>
        </w:rPr>
        <w:t xml:space="preserve">Working Surfaces </w:t>
      </w:r>
      <w:r w:rsidR="00FA1C92">
        <w:rPr>
          <w:rFonts w:ascii="Arial" w:hAnsi="Arial" w:cs="Arial"/>
        </w:rPr>
        <w:t>and Fall Protection Systems</w:t>
      </w:r>
      <w:r w:rsidR="00484B03">
        <w:rPr>
          <w:rFonts w:ascii="Arial" w:hAnsi="Arial" w:cs="Arial"/>
        </w:rPr>
        <w:t xml:space="preserve"> Standard</w:t>
      </w:r>
      <w:r w:rsidR="007C680C" w:rsidRPr="00C325AC">
        <w:rPr>
          <w:rFonts w:ascii="Arial" w:hAnsi="Arial" w:cs="Arial"/>
        </w:rPr>
        <w:t>.</w:t>
      </w:r>
      <w:r w:rsidR="0045093B" w:rsidRPr="00C325AC">
        <w:rPr>
          <w:rFonts w:ascii="Arial" w:hAnsi="Arial" w:cs="Arial"/>
        </w:rPr>
        <w:t xml:space="preserve">  Walking-</w:t>
      </w:r>
      <w:r w:rsidR="00DA50E9" w:rsidRPr="00C325AC">
        <w:rPr>
          <w:rFonts w:ascii="Arial" w:hAnsi="Arial" w:cs="Arial"/>
        </w:rPr>
        <w:t>working surface</w:t>
      </w:r>
      <w:r w:rsidR="0045093B" w:rsidRPr="00C325AC">
        <w:rPr>
          <w:rFonts w:ascii="Arial" w:hAnsi="Arial" w:cs="Arial"/>
        </w:rPr>
        <w:t>s</w:t>
      </w:r>
      <w:r w:rsidR="00DA50E9" w:rsidRPr="00C325AC">
        <w:rPr>
          <w:rFonts w:ascii="Arial" w:hAnsi="Arial" w:cs="Arial"/>
        </w:rPr>
        <w:t xml:space="preserve"> can be </w:t>
      </w:r>
      <w:r w:rsidR="007C680C" w:rsidRPr="00C325AC">
        <w:rPr>
          <w:rFonts w:ascii="Arial" w:hAnsi="Arial" w:cs="Arial"/>
        </w:rPr>
        <w:t>floors, stairs, ladders, roofs, ramps, scaffolds, elevated walkways</w:t>
      </w:r>
      <w:r w:rsidR="0045093B" w:rsidRPr="00C325AC">
        <w:rPr>
          <w:rFonts w:ascii="Arial" w:hAnsi="Arial" w:cs="Arial"/>
        </w:rPr>
        <w:t xml:space="preserve"> or </w:t>
      </w:r>
      <w:r w:rsidR="007C680C" w:rsidRPr="00C325AC">
        <w:rPr>
          <w:rFonts w:ascii="Arial" w:hAnsi="Arial" w:cs="Arial"/>
        </w:rPr>
        <w:t>fall protection systems.</w:t>
      </w:r>
      <w:r w:rsidR="00DA50E9" w:rsidRPr="00C325AC">
        <w:rPr>
          <w:rFonts w:ascii="Arial" w:hAnsi="Arial" w:cs="Arial"/>
        </w:rPr>
        <w:t xml:space="preserve">  </w:t>
      </w:r>
    </w:p>
    <w:p w:rsidR="00876E56" w:rsidRPr="00C325AC" w:rsidRDefault="00876E56" w:rsidP="00876E56">
      <w:pPr>
        <w:jc w:val="both"/>
        <w:rPr>
          <w:rFonts w:ascii="Arial" w:hAnsi="Arial" w:cs="Arial"/>
        </w:rPr>
      </w:pPr>
      <w:bookmarkStart w:id="0" w:name="_GoBack"/>
      <w:bookmarkEnd w:id="0"/>
    </w:p>
    <w:p w:rsidR="00876E56" w:rsidRPr="00C325AC" w:rsidRDefault="00876E56" w:rsidP="00876E56">
      <w:pPr>
        <w:jc w:val="both"/>
        <w:rPr>
          <w:rFonts w:ascii="Arial" w:hAnsi="Arial" w:cs="Arial"/>
        </w:rPr>
      </w:pPr>
      <w:r w:rsidRPr="00C325AC">
        <w:rPr>
          <w:rFonts w:ascii="Arial" w:hAnsi="Arial" w:cs="Arial"/>
        </w:rPr>
        <w:t xml:space="preserve">Some of </w:t>
      </w:r>
      <w:r w:rsidR="0045093B" w:rsidRPr="00C325AC">
        <w:rPr>
          <w:rFonts w:ascii="Arial" w:hAnsi="Arial" w:cs="Arial"/>
        </w:rPr>
        <w:t xml:space="preserve">tasks required immediately include </w:t>
      </w:r>
      <w:hyperlink r:id="rId6" w:history="1">
        <w:r w:rsidRPr="00FA1C92">
          <w:rPr>
            <w:rStyle w:val="Hyperlink"/>
            <w:rFonts w:ascii="Arial" w:hAnsi="Arial" w:cs="Arial"/>
          </w:rPr>
          <w:t>employee training</w:t>
        </w:r>
      </w:hyperlink>
      <w:r w:rsidRPr="00C325AC">
        <w:rPr>
          <w:rFonts w:ascii="Arial" w:hAnsi="Arial" w:cs="Arial"/>
        </w:rPr>
        <w:t xml:space="preserve"> in slips, trips, falls</w:t>
      </w:r>
      <w:r w:rsidR="0045093B" w:rsidRPr="00C325AC">
        <w:rPr>
          <w:rFonts w:ascii="Arial" w:hAnsi="Arial" w:cs="Arial"/>
        </w:rPr>
        <w:t xml:space="preserve"> and fall protection equipment and re</w:t>
      </w:r>
      <w:r w:rsidRPr="00C325AC">
        <w:rPr>
          <w:rFonts w:ascii="Arial" w:hAnsi="Arial" w:cs="Arial"/>
        </w:rPr>
        <w:t>gular inspections and maintenance of walking-work</w:t>
      </w:r>
      <w:r w:rsidR="0045093B" w:rsidRPr="00C325AC">
        <w:rPr>
          <w:rFonts w:ascii="Arial" w:hAnsi="Arial" w:cs="Arial"/>
        </w:rPr>
        <w:t xml:space="preserve">ing surfaces.  Inspections, maintenance, and replacements, where needed, of </w:t>
      </w:r>
      <w:r w:rsidRPr="00C325AC">
        <w:rPr>
          <w:rFonts w:ascii="Arial" w:hAnsi="Arial" w:cs="Arial"/>
        </w:rPr>
        <w:t xml:space="preserve">fall protection </w:t>
      </w:r>
      <w:r w:rsidR="0045093B" w:rsidRPr="00C325AC">
        <w:rPr>
          <w:rFonts w:ascii="Arial" w:hAnsi="Arial" w:cs="Arial"/>
        </w:rPr>
        <w:t>equipment is also required.</w:t>
      </w:r>
    </w:p>
    <w:p w:rsidR="00876E56" w:rsidRPr="00C325AC" w:rsidRDefault="00876E56" w:rsidP="00876E56">
      <w:pPr>
        <w:jc w:val="both"/>
        <w:rPr>
          <w:rFonts w:ascii="Arial" w:hAnsi="Arial" w:cs="Arial"/>
        </w:rPr>
      </w:pPr>
    </w:p>
    <w:p w:rsidR="002E28D0" w:rsidRDefault="002E28D0" w:rsidP="002E28D0">
      <w:pPr>
        <w:jc w:val="both"/>
        <w:rPr>
          <w:rFonts w:ascii="Arial" w:hAnsi="Arial" w:cs="Arial"/>
        </w:rPr>
      </w:pPr>
      <w:r w:rsidRPr="00C325AC">
        <w:rPr>
          <w:rFonts w:ascii="Arial" w:hAnsi="Arial" w:cs="Arial"/>
        </w:rPr>
        <w:t xml:space="preserve">The rule allows employers some leeway in choosing the fall protection systems which work best for them, which has been a part of the </w:t>
      </w:r>
      <w:r w:rsidR="00484B03">
        <w:rPr>
          <w:rFonts w:ascii="Arial" w:hAnsi="Arial" w:cs="Arial"/>
        </w:rPr>
        <w:t>C</w:t>
      </w:r>
      <w:r w:rsidRPr="00C325AC">
        <w:rPr>
          <w:rFonts w:ascii="Arial" w:hAnsi="Arial" w:cs="Arial"/>
        </w:rPr>
        <w:t xml:space="preserve">onstruction </w:t>
      </w:r>
      <w:r w:rsidR="00484B03">
        <w:rPr>
          <w:rFonts w:ascii="Arial" w:hAnsi="Arial" w:cs="Arial"/>
        </w:rPr>
        <w:t>S</w:t>
      </w:r>
      <w:r w:rsidRPr="00C325AC">
        <w:rPr>
          <w:rFonts w:ascii="Arial" w:hAnsi="Arial" w:cs="Arial"/>
        </w:rPr>
        <w:t>tandard.  It also phases in certain protections for fixed ladder systems which extend over 24 feet.  For now, cages and wells on existing ladders are ok until the year 2036.  However</w:t>
      </w:r>
      <w:r w:rsidR="0043029B">
        <w:rPr>
          <w:rFonts w:ascii="Arial" w:hAnsi="Arial" w:cs="Arial"/>
        </w:rPr>
        <w:t>,</w:t>
      </w:r>
      <w:r w:rsidRPr="00C325AC">
        <w:rPr>
          <w:rFonts w:ascii="Arial" w:hAnsi="Arial" w:cs="Arial"/>
        </w:rPr>
        <w:t xml:space="preserve"> any new </w:t>
      </w:r>
      <w:r>
        <w:rPr>
          <w:rFonts w:ascii="Arial" w:hAnsi="Arial" w:cs="Arial"/>
        </w:rPr>
        <w:t xml:space="preserve">or replacement </w:t>
      </w:r>
      <w:r w:rsidRPr="00C325AC">
        <w:rPr>
          <w:rFonts w:ascii="Arial" w:hAnsi="Arial" w:cs="Arial"/>
        </w:rPr>
        <w:t>ladders</w:t>
      </w:r>
      <w:r>
        <w:rPr>
          <w:rFonts w:ascii="Arial" w:hAnsi="Arial" w:cs="Arial"/>
        </w:rPr>
        <w:t xml:space="preserve"> </w:t>
      </w:r>
      <w:r w:rsidRPr="00C325AC">
        <w:rPr>
          <w:rFonts w:ascii="Arial" w:hAnsi="Arial" w:cs="Arial"/>
        </w:rPr>
        <w:t>must have ladder safety or personal fall a</w:t>
      </w:r>
      <w:r>
        <w:rPr>
          <w:rFonts w:ascii="Arial" w:hAnsi="Arial" w:cs="Arial"/>
        </w:rPr>
        <w:t xml:space="preserve">rrest systems installed on them starting </w:t>
      </w:r>
      <w:r w:rsidR="005650F0">
        <w:rPr>
          <w:rFonts w:ascii="Arial" w:hAnsi="Arial" w:cs="Arial"/>
        </w:rPr>
        <w:t>next year</w:t>
      </w:r>
      <w:r>
        <w:rPr>
          <w:rFonts w:ascii="Arial" w:hAnsi="Arial" w:cs="Arial"/>
        </w:rPr>
        <w:t>.</w:t>
      </w:r>
    </w:p>
    <w:p w:rsidR="002E28D0" w:rsidRPr="00C325AC" w:rsidRDefault="002E28D0" w:rsidP="002E28D0">
      <w:pPr>
        <w:jc w:val="both"/>
        <w:rPr>
          <w:rFonts w:ascii="Arial" w:hAnsi="Arial" w:cs="Arial"/>
        </w:rPr>
      </w:pPr>
    </w:p>
    <w:p w:rsidR="00876E56" w:rsidRPr="00C325AC" w:rsidRDefault="00876E56" w:rsidP="00876E56">
      <w:pPr>
        <w:jc w:val="both"/>
        <w:rPr>
          <w:rFonts w:ascii="Arial" w:hAnsi="Arial" w:cs="Arial"/>
        </w:rPr>
      </w:pPr>
      <w:r w:rsidRPr="00C325AC">
        <w:rPr>
          <w:rFonts w:ascii="Arial" w:hAnsi="Arial" w:cs="Arial"/>
        </w:rPr>
        <w:t>The new rule incorporates language for those who use rope descent systems</w:t>
      </w:r>
      <w:r w:rsidR="002E28D0">
        <w:rPr>
          <w:rFonts w:ascii="Arial" w:hAnsi="Arial" w:cs="Arial"/>
        </w:rPr>
        <w:t>, or RDS</w:t>
      </w:r>
      <w:r w:rsidRPr="00C325AC">
        <w:rPr>
          <w:rFonts w:ascii="Arial" w:hAnsi="Arial" w:cs="Arial"/>
        </w:rPr>
        <w:t xml:space="preserve">.  No RDS should be used at heights higher than 300 feet above grade, and employers are to </w:t>
      </w:r>
      <w:r w:rsidR="0045093B" w:rsidRPr="00C325AC">
        <w:rPr>
          <w:rFonts w:ascii="Arial" w:hAnsi="Arial" w:cs="Arial"/>
        </w:rPr>
        <w:t xml:space="preserve">have the </w:t>
      </w:r>
      <w:r w:rsidRPr="00C325AC">
        <w:rPr>
          <w:rFonts w:ascii="Arial" w:hAnsi="Arial" w:cs="Arial"/>
        </w:rPr>
        <w:t xml:space="preserve">anchorage points of these RDS systems </w:t>
      </w:r>
      <w:r w:rsidR="0045093B" w:rsidRPr="00C325AC">
        <w:rPr>
          <w:rFonts w:ascii="Arial" w:hAnsi="Arial" w:cs="Arial"/>
        </w:rPr>
        <w:t xml:space="preserve">certified </w:t>
      </w:r>
      <w:r w:rsidRPr="00C325AC">
        <w:rPr>
          <w:rFonts w:ascii="Arial" w:hAnsi="Arial" w:cs="Arial"/>
        </w:rPr>
        <w:t>by November 20</w:t>
      </w:r>
      <w:r w:rsidR="003D4333">
        <w:rPr>
          <w:rFonts w:ascii="Arial" w:hAnsi="Arial" w:cs="Arial"/>
        </w:rPr>
        <w:t>, 2017</w:t>
      </w:r>
      <w:r w:rsidRPr="00C325AC">
        <w:rPr>
          <w:rFonts w:ascii="Arial" w:hAnsi="Arial" w:cs="Arial"/>
        </w:rPr>
        <w:t xml:space="preserve">. </w:t>
      </w:r>
      <w:r w:rsidR="00FA1C92">
        <w:rPr>
          <w:rFonts w:ascii="Arial" w:hAnsi="Arial" w:cs="Arial"/>
        </w:rPr>
        <w:t xml:space="preserve"> </w:t>
      </w:r>
      <w:r w:rsidR="0045093B" w:rsidRPr="00C325AC">
        <w:rPr>
          <w:rFonts w:ascii="Arial" w:hAnsi="Arial" w:cs="Arial"/>
        </w:rPr>
        <w:t>This certification requires inspection, testing, and verification that it’s capable of holding 5,000 lbs. per employee.</w:t>
      </w:r>
      <w:r w:rsidRPr="00C325AC">
        <w:rPr>
          <w:rFonts w:ascii="Arial" w:hAnsi="Arial" w:cs="Arial"/>
        </w:rPr>
        <w:t xml:space="preserve"> </w:t>
      </w:r>
    </w:p>
    <w:p w:rsidR="00876E56" w:rsidRPr="00C325AC" w:rsidRDefault="00876E56" w:rsidP="00876E56">
      <w:pPr>
        <w:jc w:val="both"/>
        <w:rPr>
          <w:rFonts w:ascii="Arial" w:hAnsi="Arial" w:cs="Arial"/>
        </w:rPr>
      </w:pPr>
    </w:p>
    <w:p w:rsidR="00876E56" w:rsidRDefault="00876E56" w:rsidP="00876E56">
      <w:pPr>
        <w:jc w:val="both"/>
        <w:rPr>
          <w:rFonts w:ascii="Arial" w:hAnsi="Arial" w:cs="Arial"/>
        </w:rPr>
      </w:pPr>
      <w:r w:rsidRPr="00C325AC">
        <w:rPr>
          <w:rFonts w:ascii="Arial" w:hAnsi="Arial" w:cs="Arial"/>
        </w:rPr>
        <w:t>With the rule, OSHA has deferred scaffolding requirements to the construction standard.</w:t>
      </w:r>
    </w:p>
    <w:p w:rsidR="005650F0" w:rsidRDefault="005650F0" w:rsidP="00876E56">
      <w:pPr>
        <w:jc w:val="both"/>
        <w:rPr>
          <w:rFonts w:ascii="Arial" w:hAnsi="Arial" w:cs="Arial"/>
        </w:rPr>
      </w:pPr>
    </w:p>
    <w:p w:rsidR="005650F0" w:rsidRPr="00C325AC" w:rsidRDefault="005650F0" w:rsidP="00876E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more information, check out</w:t>
      </w:r>
      <w:r w:rsidR="00FA1C92">
        <w:rPr>
          <w:rFonts w:ascii="Arial" w:hAnsi="Arial" w:cs="Arial"/>
        </w:rPr>
        <w:t xml:space="preserve"> the </w:t>
      </w:r>
      <w:hyperlink r:id="rId7" w:history="1">
        <w:r w:rsidR="00FA1C92" w:rsidRPr="00FA1C92">
          <w:rPr>
            <w:rStyle w:val="Hyperlink"/>
            <w:rFonts w:ascii="Arial" w:hAnsi="Arial" w:cs="Arial"/>
          </w:rPr>
          <w:t>rule’s</w:t>
        </w:r>
        <w:r w:rsidRPr="00FA1C92">
          <w:rPr>
            <w:rStyle w:val="Hyperlink"/>
            <w:rFonts w:ascii="Arial" w:hAnsi="Arial" w:cs="Arial"/>
          </w:rPr>
          <w:t xml:space="preserve"> </w:t>
        </w:r>
        <w:r w:rsidR="00FA1C92" w:rsidRPr="00FA1C92">
          <w:rPr>
            <w:rStyle w:val="Hyperlink"/>
            <w:rFonts w:ascii="Arial" w:hAnsi="Arial" w:cs="Arial"/>
          </w:rPr>
          <w:t>frequently asked questions site</w:t>
        </w:r>
      </w:hyperlink>
      <w:r w:rsidR="00FA1C92">
        <w:rPr>
          <w:rFonts w:ascii="Arial" w:hAnsi="Arial" w:cs="Arial"/>
        </w:rPr>
        <w:t xml:space="preserve"> at OSHA. </w:t>
      </w:r>
    </w:p>
    <w:p w:rsidR="007C680C" w:rsidRDefault="007C680C" w:rsidP="007C680C">
      <w:pPr>
        <w:rPr>
          <w:rFonts w:ascii="Calibri" w:hAnsi="Calibri" w:cs="Calibri"/>
        </w:rPr>
      </w:pPr>
    </w:p>
    <w:tbl>
      <w:tblPr>
        <w:tblStyle w:val="ListTable3-Accent4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325AC" w:rsidTr="00C3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top w:val="single" w:sz="4" w:space="0" w:color="FFC000" w:themeColor="accent4"/>
            </w:tcBorders>
            <w:shd w:val="clear" w:color="auto" w:fill="EAB200"/>
          </w:tcPr>
          <w:p w:rsidR="00C325AC" w:rsidRPr="00C325AC" w:rsidRDefault="00C325AC" w:rsidP="00C325AC">
            <w:pPr>
              <w:jc w:val="center"/>
              <w:rPr>
                <w:rFonts w:ascii="Franklin Gothic Demi" w:hAnsi="Franklin Gothic Demi" w:cs="Calibri"/>
                <w:b w:val="0"/>
              </w:rPr>
            </w:pPr>
            <w:r w:rsidRPr="005650F0">
              <w:rPr>
                <w:rFonts w:ascii="Franklin Gothic Demi" w:hAnsi="Franklin Gothic Demi" w:cs="Calibri"/>
                <w:sz w:val="3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Fall Protection Compliance Deadlines</w:t>
            </w:r>
          </w:p>
        </w:tc>
      </w:tr>
      <w:tr w:rsidR="0045093B" w:rsidTr="00C3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FFC000" w:themeColor="accent4"/>
            </w:tcBorders>
            <w:vAlign w:val="center"/>
          </w:tcPr>
          <w:p w:rsidR="0045093B" w:rsidRPr="00C325AC" w:rsidRDefault="0045093B" w:rsidP="00C325AC">
            <w:pPr>
              <w:jc w:val="center"/>
              <w:rPr>
                <w:rFonts w:ascii="Franklin Gothic Demi" w:hAnsi="Franklin Gothic Demi" w:cs="Calibri"/>
                <w:b w:val="0"/>
              </w:rPr>
            </w:pPr>
            <w:r w:rsidRPr="00C325AC">
              <w:rPr>
                <w:rFonts w:ascii="Franklin Gothic Demi" w:hAnsi="Franklin Gothic Demi" w:cs="Calibri"/>
              </w:rPr>
              <w:t>Now</w:t>
            </w:r>
          </w:p>
        </w:tc>
        <w:tc>
          <w:tcPr>
            <w:tcW w:w="7825" w:type="dxa"/>
            <w:tcBorders>
              <w:left w:val="single" w:sz="12" w:space="0" w:color="FFC000" w:themeColor="accent4"/>
            </w:tcBorders>
            <w:vAlign w:val="center"/>
          </w:tcPr>
          <w:p w:rsidR="0045093B" w:rsidRPr="00C325AC" w:rsidRDefault="0045093B" w:rsidP="00C325AC">
            <w:pPr>
              <w:pStyle w:val="ListParagraph"/>
              <w:numPr>
                <w:ilvl w:val="0"/>
                <w:numId w:val="3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C325AC">
              <w:rPr>
                <w:rFonts w:ascii="Franklin Gothic Book" w:hAnsi="Franklin Gothic Book" w:cs="Calibri"/>
              </w:rPr>
              <w:t>Make sure your workers are trained in fall and equipment hazards.</w:t>
            </w:r>
          </w:p>
          <w:p w:rsidR="0045093B" w:rsidRPr="00C325AC" w:rsidRDefault="0045093B" w:rsidP="00C325AC">
            <w:pPr>
              <w:pStyle w:val="ListParagraph"/>
              <w:numPr>
                <w:ilvl w:val="0"/>
                <w:numId w:val="3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C325AC">
              <w:rPr>
                <w:rFonts w:ascii="Franklin Gothic Book" w:hAnsi="Franklin Gothic Book" w:cs="Calibri"/>
              </w:rPr>
              <w:t>Regularly inspect fall protection systems and equipment.</w:t>
            </w:r>
          </w:p>
          <w:p w:rsidR="0045093B" w:rsidRPr="00C325AC" w:rsidRDefault="0045093B" w:rsidP="00C325AC">
            <w:pPr>
              <w:pStyle w:val="ListParagraph"/>
              <w:numPr>
                <w:ilvl w:val="0"/>
                <w:numId w:val="3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C325AC">
              <w:rPr>
                <w:rFonts w:ascii="Franklin Gothic Book" w:hAnsi="Franklin Gothic Book" w:cs="Calibri"/>
              </w:rPr>
              <w:t>Regularly inspect walking-working surfaces regularly and as-needed.</w:t>
            </w:r>
          </w:p>
          <w:p w:rsidR="0045093B" w:rsidRPr="00C325AC" w:rsidRDefault="0045093B" w:rsidP="00C325AC">
            <w:pPr>
              <w:pStyle w:val="ListParagraph"/>
              <w:numPr>
                <w:ilvl w:val="0"/>
                <w:numId w:val="3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C325AC">
              <w:rPr>
                <w:rFonts w:ascii="Franklin Gothic Book" w:hAnsi="Franklin Gothic Book" w:cs="Calibri"/>
              </w:rPr>
              <w:t>Correct, repair or guard your surfaces against hazardous conditions</w:t>
            </w:r>
          </w:p>
        </w:tc>
      </w:tr>
      <w:tr w:rsidR="0045093B" w:rsidTr="00C325A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FFC000" w:themeColor="accent4"/>
            </w:tcBorders>
            <w:vAlign w:val="center"/>
          </w:tcPr>
          <w:p w:rsidR="0045093B" w:rsidRPr="00C325AC" w:rsidRDefault="0045093B" w:rsidP="00C325AC">
            <w:pPr>
              <w:jc w:val="center"/>
              <w:rPr>
                <w:rFonts w:ascii="Franklin Gothic Demi" w:hAnsi="Franklin Gothic Demi" w:cs="Calibri"/>
                <w:b w:val="0"/>
              </w:rPr>
            </w:pPr>
            <w:r w:rsidRPr="00C325AC">
              <w:rPr>
                <w:rFonts w:ascii="Franklin Gothic Demi" w:hAnsi="Franklin Gothic Demi" w:cs="Calibri"/>
              </w:rPr>
              <w:t>11/20/2017</w:t>
            </w:r>
          </w:p>
        </w:tc>
        <w:tc>
          <w:tcPr>
            <w:tcW w:w="7825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4" w:space="0" w:color="FFC000" w:themeColor="accent4"/>
            </w:tcBorders>
            <w:vAlign w:val="center"/>
          </w:tcPr>
          <w:p w:rsidR="0045093B" w:rsidRPr="00C325AC" w:rsidRDefault="0045093B" w:rsidP="00C3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C325AC">
              <w:rPr>
                <w:rFonts w:ascii="Franklin Gothic Book" w:hAnsi="Franklin Gothic Book" w:cs="Calibri"/>
              </w:rPr>
              <w:t xml:space="preserve">Certifications of </w:t>
            </w:r>
            <w:r w:rsidRPr="00C325AC">
              <w:rPr>
                <w:rFonts w:ascii="Franklin Gothic Book" w:hAnsi="Franklin Gothic Book"/>
              </w:rPr>
              <w:t>permanent anchorages for rope descent systems are due.</w:t>
            </w:r>
          </w:p>
        </w:tc>
      </w:tr>
      <w:tr w:rsidR="0045093B" w:rsidTr="00C3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single" w:sz="12" w:space="0" w:color="FFC000" w:themeColor="accent4"/>
            </w:tcBorders>
            <w:vAlign w:val="center"/>
          </w:tcPr>
          <w:p w:rsidR="0045093B" w:rsidRPr="00C325AC" w:rsidRDefault="0045093B" w:rsidP="00C325AC">
            <w:pPr>
              <w:jc w:val="center"/>
              <w:rPr>
                <w:rFonts w:ascii="Franklin Gothic Demi" w:hAnsi="Franklin Gothic Demi" w:cs="Calibri"/>
                <w:b w:val="0"/>
              </w:rPr>
            </w:pPr>
            <w:r w:rsidRPr="00C325AC">
              <w:rPr>
                <w:rFonts w:ascii="Franklin Gothic Demi" w:hAnsi="Franklin Gothic Demi" w:cs="Calibri"/>
              </w:rPr>
              <w:t>11/19/2018</w:t>
            </w:r>
          </w:p>
        </w:tc>
        <w:tc>
          <w:tcPr>
            <w:tcW w:w="7825" w:type="dxa"/>
            <w:tcBorders>
              <w:left w:val="single" w:sz="12" w:space="0" w:color="FFC000" w:themeColor="accent4"/>
            </w:tcBorders>
            <w:vAlign w:val="center"/>
          </w:tcPr>
          <w:p w:rsidR="0045093B" w:rsidRPr="00C325AC" w:rsidRDefault="0045093B" w:rsidP="00C325AC">
            <w:pPr>
              <w:pStyle w:val="ListParagraph"/>
              <w:numPr>
                <w:ilvl w:val="0"/>
                <w:numId w:val="1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C325AC">
              <w:rPr>
                <w:rFonts w:ascii="Franklin Gothic Book" w:hAnsi="Franklin Gothic Book"/>
              </w:rPr>
              <w:t>New fixed ladders</w:t>
            </w:r>
            <w:r w:rsidR="00C325AC" w:rsidRPr="00C325AC">
              <w:rPr>
                <w:rFonts w:ascii="Franklin Gothic Book" w:hAnsi="Franklin Gothic Book"/>
              </w:rPr>
              <w:t>, replacement ladders, and replacement ladder sections</w:t>
            </w:r>
            <w:r w:rsidRPr="00C325AC">
              <w:rPr>
                <w:rFonts w:ascii="Franklin Gothic Book" w:hAnsi="Franklin Gothic Book"/>
              </w:rPr>
              <w:t xml:space="preserve"> over 24 feet must have personal fall arrest or ladder safety systems installed.</w:t>
            </w:r>
          </w:p>
          <w:p w:rsidR="0045093B" w:rsidRPr="00C325AC" w:rsidRDefault="0045093B" w:rsidP="00C325AC">
            <w:pPr>
              <w:pStyle w:val="ListParagraph"/>
              <w:numPr>
                <w:ilvl w:val="0"/>
                <w:numId w:val="1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C325AC">
              <w:rPr>
                <w:rFonts w:ascii="Franklin Gothic Book" w:hAnsi="Franklin Gothic Book"/>
              </w:rPr>
              <w:t>Existing fixed ladders over 24 feet are equipped with a cage, well, personal fall arrest system, or ladder safety system.</w:t>
            </w:r>
          </w:p>
        </w:tc>
      </w:tr>
      <w:tr w:rsidR="00C325AC" w:rsidTr="00C325A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4" w:space="0" w:color="FFC000" w:themeColor="accent4"/>
              <w:right w:val="single" w:sz="12" w:space="0" w:color="FFC000" w:themeColor="accent4"/>
            </w:tcBorders>
            <w:vAlign w:val="center"/>
          </w:tcPr>
          <w:p w:rsidR="00C325AC" w:rsidRPr="00C325AC" w:rsidRDefault="00C325AC" w:rsidP="00C325AC">
            <w:pPr>
              <w:jc w:val="center"/>
              <w:rPr>
                <w:rFonts w:ascii="Franklin Gothic Demi" w:hAnsi="Franklin Gothic Demi" w:cs="Calibri"/>
                <w:b w:val="0"/>
              </w:rPr>
            </w:pPr>
            <w:r w:rsidRPr="00C325AC">
              <w:rPr>
                <w:rFonts w:ascii="Franklin Gothic Demi" w:hAnsi="Franklin Gothic Demi" w:cs="Calibri"/>
              </w:rPr>
              <w:t>11/18/2036</w:t>
            </w:r>
          </w:p>
        </w:tc>
        <w:tc>
          <w:tcPr>
            <w:tcW w:w="7825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4" w:space="0" w:color="FFC000" w:themeColor="accent4"/>
            </w:tcBorders>
            <w:vAlign w:val="center"/>
          </w:tcPr>
          <w:p w:rsidR="00C325AC" w:rsidRPr="00C325AC" w:rsidRDefault="002E28D0" w:rsidP="002E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Replace a</w:t>
            </w:r>
            <w:r w:rsidR="00C325AC" w:rsidRPr="00C325AC">
              <w:rPr>
                <w:rFonts w:ascii="Franklin Gothic Book" w:hAnsi="Franklin Gothic Book"/>
              </w:rPr>
              <w:t xml:space="preserve">ny cages or wells used for fall protection </w:t>
            </w:r>
            <w:r>
              <w:rPr>
                <w:rFonts w:ascii="Franklin Gothic Book" w:hAnsi="Franklin Gothic Book"/>
              </w:rPr>
              <w:t xml:space="preserve">on fixed ladders over 24 feet </w:t>
            </w:r>
            <w:r w:rsidR="00C325AC" w:rsidRPr="00C325AC">
              <w:rPr>
                <w:rFonts w:ascii="Franklin Gothic Book" w:hAnsi="Franklin Gothic Book"/>
              </w:rPr>
              <w:t>with ladder safety or personal fall arrest systems.</w:t>
            </w:r>
          </w:p>
        </w:tc>
      </w:tr>
    </w:tbl>
    <w:p w:rsidR="00DA50E9" w:rsidRDefault="00DA50E9" w:rsidP="007C680C">
      <w:pPr>
        <w:rPr>
          <w:rFonts w:ascii="Calibri" w:hAnsi="Calibri" w:cs="Calibri"/>
        </w:rPr>
      </w:pPr>
    </w:p>
    <w:p w:rsidR="00C325AC" w:rsidRDefault="00C325AC" w:rsidP="00C325AC"/>
    <w:sectPr w:rsidR="00C3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CA1"/>
    <w:multiLevelType w:val="hybridMultilevel"/>
    <w:tmpl w:val="48EE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C25"/>
    <w:multiLevelType w:val="hybridMultilevel"/>
    <w:tmpl w:val="43EC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45B2"/>
    <w:multiLevelType w:val="hybridMultilevel"/>
    <w:tmpl w:val="F202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280"/>
    <w:multiLevelType w:val="hybridMultilevel"/>
    <w:tmpl w:val="C976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0C"/>
    <w:rsid w:val="000A01B3"/>
    <w:rsid w:val="000D338A"/>
    <w:rsid w:val="000D69C8"/>
    <w:rsid w:val="002E28D0"/>
    <w:rsid w:val="00322A56"/>
    <w:rsid w:val="003D4333"/>
    <w:rsid w:val="0043029B"/>
    <w:rsid w:val="0045093B"/>
    <w:rsid w:val="00484B03"/>
    <w:rsid w:val="005650F0"/>
    <w:rsid w:val="007C680C"/>
    <w:rsid w:val="00876E56"/>
    <w:rsid w:val="00AE4A2F"/>
    <w:rsid w:val="00C325AC"/>
    <w:rsid w:val="00DA50E9"/>
    <w:rsid w:val="00DC5FEF"/>
    <w:rsid w:val="00F46AD9"/>
    <w:rsid w:val="00FA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A0F1579-C2DF-426C-89E1-C91A8A50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E9"/>
    <w:pPr>
      <w:ind w:left="720"/>
      <w:contextualSpacing/>
    </w:pPr>
  </w:style>
  <w:style w:type="table" w:styleId="TableGrid">
    <w:name w:val="Table Grid"/>
    <w:basedOn w:val="TableNormal"/>
    <w:uiPriority w:val="39"/>
    <w:rsid w:val="00450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41">
    <w:name w:val="List Table 3 - Accent 41"/>
    <w:basedOn w:val="TableNormal"/>
    <w:uiPriority w:val="48"/>
    <w:rsid w:val="00C325A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650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C9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0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2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sha.gov/walking-working-surfaces/faq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ienvironmental.com/index.php/safety-training/osha-safety-trai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E512-8E0B-4D09-8ADD-EF253E3E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cp:lastPrinted>2017-08-10T16:47:00Z</cp:lastPrinted>
  <dcterms:created xsi:type="dcterms:W3CDTF">2017-08-10T16:01:00Z</dcterms:created>
  <dcterms:modified xsi:type="dcterms:W3CDTF">2017-08-10T22:49:00Z</dcterms:modified>
</cp:coreProperties>
</file>