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036272" w:rsidRDefault="00EA0BBB" w:rsidP="00036272">
      <w:pPr>
        <w:jc w:val="center"/>
        <w:rPr>
          <w:b/>
          <w:sz w:val="28"/>
        </w:rPr>
      </w:pPr>
      <w:r w:rsidRPr="00036272">
        <w:rPr>
          <w:b/>
          <w:sz w:val="28"/>
        </w:rPr>
        <w:t xml:space="preserve">Air </w:t>
      </w:r>
      <w:r w:rsidR="00C74A1E" w:rsidRPr="00036272">
        <w:rPr>
          <w:b/>
          <w:sz w:val="28"/>
        </w:rPr>
        <w:t>Releases of Hazardous Substance</w:t>
      </w:r>
      <w:r w:rsidRPr="00036272">
        <w:rPr>
          <w:b/>
          <w:sz w:val="28"/>
        </w:rPr>
        <w:t xml:space="preserve"> </w:t>
      </w:r>
      <w:proofErr w:type="gramStart"/>
      <w:r w:rsidRPr="00036272">
        <w:rPr>
          <w:b/>
          <w:sz w:val="28"/>
        </w:rPr>
        <w:t>From</w:t>
      </w:r>
      <w:proofErr w:type="gramEnd"/>
      <w:r w:rsidRPr="00036272">
        <w:rPr>
          <w:b/>
          <w:sz w:val="28"/>
        </w:rPr>
        <w:t xml:space="preserve"> Animal Wastes</w:t>
      </w:r>
      <w:r w:rsidR="000E6B69" w:rsidRPr="00036272">
        <w:rPr>
          <w:b/>
          <w:sz w:val="28"/>
        </w:rPr>
        <w:t xml:space="preserve"> </w:t>
      </w:r>
      <w:r w:rsidR="00C74A1E" w:rsidRPr="00036272">
        <w:rPr>
          <w:b/>
          <w:sz w:val="28"/>
        </w:rPr>
        <w:t>Reporting Due N</w:t>
      </w:r>
      <w:r w:rsidR="000E6B69" w:rsidRPr="00036272">
        <w:rPr>
          <w:b/>
          <w:sz w:val="28"/>
        </w:rPr>
        <w:t>ovember 15</w:t>
      </w:r>
    </w:p>
    <w:p w:rsidR="00EA0BBB" w:rsidRDefault="00EA0BBB"/>
    <w:p w:rsidR="00EA0BBB" w:rsidRPr="00DF4A15" w:rsidRDefault="00EA0BBB" w:rsidP="00EA0BBB">
      <w:pPr>
        <w:jc w:val="both"/>
        <w:rPr>
          <w:color w:val="000000" w:themeColor="text1"/>
        </w:rPr>
      </w:pPr>
      <w:r w:rsidRPr="00DF4A15">
        <w:rPr>
          <w:color w:val="000000" w:themeColor="text1"/>
        </w:rPr>
        <w:t xml:space="preserve">When </w:t>
      </w:r>
      <w:r w:rsidR="007F3CCF" w:rsidRPr="00DF4A15">
        <w:rPr>
          <w:color w:val="000000" w:themeColor="text1"/>
        </w:rPr>
        <w:t xml:space="preserve">someone says </w:t>
      </w:r>
      <w:r w:rsidRPr="00DF4A15">
        <w:rPr>
          <w:color w:val="000000" w:themeColor="text1"/>
        </w:rPr>
        <w:t xml:space="preserve">hazardous air emissions, one may picture a </w:t>
      </w:r>
      <w:r w:rsidR="008E158F" w:rsidRPr="00DF4A15">
        <w:rPr>
          <w:color w:val="000000" w:themeColor="text1"/>
        </w:rPr>
        <w:t xml:space="preserve">plume of </w:t>
      </w:r>
      <w:r w:rsidR="002A314D" w:rsidRPr="00DF4A15">
        <w:rPr>
          <w:color w:val="000000" w:themeColor="text1"/>
        </w:rPr>
        <w:t>gases</w:t>
      </w:r>
      <w:r w:rsidR="008E158F" w:rsidRPr="00DF4A15">
        <w:rPr>
          <w:color w:val="000000" w:themeColor="text1"/>
        </w:rPr>
        <w:t xml:space="preserve"> coming from a </w:t>
      </w:r>
      <w:r w:rsidRPr="00DF4A15">
        <w:rPr>
          <w:color w:val="000000" w:themeColor="text1"/>
        </w:rPr>
        <w:t>smoke sta</w:t>
      </w:r>
      <w:r w:rsidR="008E158F" w:rsidRPr="00DF4A15">
        <w:rPr>
          <w:color w:val="000000" w:themeColor="text1"/>
        </w:rPr>
        <w:t>ck</w:t>
      </w:r>
      <w:r w:rsidRPr="00DF4A15">
        <w:rPr>
          <w:color w:val="000000" w:themeColor="text1"/>
        </w:rPr>
        <w:t xml:space="preserve">.  </w:t>
      </w:r>
      <w:r w:rsidR="002A314D" w:rsidRPr="00DF4A15">
        <w:rPr>
          <w:color w:val="000000" w:themeColor="text1"/>
        </w:rPr>
        <w:t>Do you ever think of a feedlot</w:t>
      </w:r>
      <w:r w:rsidRPr="00DF4A15">
        <w:rPr>
          <w:color w:val="000000" w:themeColor="text1"/>
        </w:rPr>
        <w:t xml:space="preserve">?  </w:t>
      </w:r>
      <w:r w:rsidR="002A314D" w:rsidRPr="00DF4A15">
        <w:rPr>
          <w:color w:val="000000" w:themeColor="text1"/>
        </w:rPr>
        <w:t xml:space="preserve">Recently, the courts ruled that EPA must regulate air </w:t>
      </w:r>
      <w:r w:rsidR="00DF4A15" w:rsidRPr="00DF4A15">
        <w:rPr>
          <w:color w:val="000000" w:themeColor="text1"/>
        </w:rPr>
        <w:t>emissions</w:t>
      </w:r>
      <w:r w:rsidR="002A314D" w:rsidRPr="00DF4A15">
        <w:rPr>
          <w:color w:val="000000" w:themeColor="text1"/>
        </w:rPr>
        <w:t xml:space="preserve"> from a</w:t>
      </w:r>
      <w:r w:rsidR="007F3CCF" w:rsidRPr="00DF4A15">
        <w:rPr>
          <w:color w:val="000000" w:themeColor="text1"/>
        </w:rPr>
        <w:t xml:space="preserve">nimal wastes </w:t>
      </w:r>
      <w:r w:rsidR="002A314D" w:rsidRPr="00DF4A15">
        <w:rPr>
          <w:color w:val="000000" w:themeColor="text1"/>
        </w:rPr>
        <w:t xml:space="preserve">because these operations emit </w:t>
      </w:r>
      <w:r w:rsidR="007F3CCF" w:rsidRPr="00DF4A15">
        <w:rPr>
          <w:color w:val="000000" w:themeColor="text1"/>
        </w:rPr>
        <w:t>ammonia and hydrogen sulfide.  When produced in certain quantities the</w:t>
      </w:r>
      <w:r w:rsidR="002A314D" w:rsidRPr="00DF4A15">
        <w:rPr>
          <w:color w:val="000000" w:themeColor="text1"/>
        </w:rPr>
        <w:t>se operations are now</w:t>
      </w:r>
      <w:r w:rsidR="007F3CCF" w:rsidRPr="00DF4A15">
        <w:rPr>
          <w:color w:val="000000" w:themeColor="text1"/>
        </w:rPr>
        <w:t xml:space="preserve"> subject to </w:t>
      </w:r>
      <w:r w:rsidR="008E158F" w:rsidRPr="00DF4A15">
        <w:rPr>
          <w:color w:val="000000" w:themeColor="text1"/>
        </w:rPr>
        <w:t xml:space="preserve">EPA </w:t>
      </w:r>
      <w:r w:rsidR="007F3CCF" w:rsidRPr="00DF4A15">
        <w:rPr>
          <w:color w:val="000000" w:themeColor="text1"/>
        </w:rPr>
        <w:t>reporting rules, requir</w:t>
      </w:r>
      <w:r w:rsidR="002A314D" w:rsidRPr="00DF4A15">
        <w:rPr>
          <w:color w:val="000000" w:themeColor="text1"/>
        </w:rPr>
        <w:t>ing them</w:t>
      </w:r>
      <w:r w:rsidR="007F3CCF" w:rsidRPr="00DF4A15">
        <w:rPr>
          <w:color w:val="000000" w:themeColor="text1"/>
        </w:rPr>
        <w:t xml:space="preserve"> </w:t>
      </w:r>
      <w:r w:rsidR="00C74A1E" w:rsidRPr="00DF4A15">
        <w:rPr>
          <w:color w:val="000000" w:themeColor="text1"/>
        </w:rPr>
        <w:t>to make their initial emissions reports by</w:t>
      </w:r>
      <w:r w:rsidRPr="00DF4A15">
        <w:rPr>
          <w:color w:val="000000" w:themeColor="text1"/>
        </w:rPr>
        <w:t xml:space="preserve"> November 15.</w:t>
      </w:r>
    </w:p>
    <w:p w:rsidR="00EA0BBB" w:rsidRDefault="00EA0BBB"/>
    <w:p w:rsidR="00EA0BBB" w:rsidRPr="00036272" w:rsidRDefault="00EA0BBB">
      <w:pPr>
        <w:rPr>
          <w:b/>
        </w:rPr>
      </w:pPr>
      <w:r w:rsidRPr="00036272">
        <w:rPr>
          <w:b/>
        </w:rPr>
        <w:t>Where Did This Rul</w:t>
      </w:r>
      <w:r w:rsidR="00C74A1E" w:rsidRPr="00036272">
        <w:rPr>
          <w:b/>
        </w:rPr>
        <w:t>ing</w:t>
      </w:r>
      <w:r w:rsidRPr="00036272">
        <w:rPr>
          <w:b/>
        </w:rPr>
        <w:t xml:space="preserve"> Come From?</w:t>
      </w:r>
    </w:p>
    <w:p w:rsidR="00EA0BBB" w:rsidRDefault="00EA0BBB"/>
    <w:p w:rsidR="000E6B69" w:rsidRDefault="000E6B69" w:rsidP="000E6B69">
      <w:pPr>
        <w:jc w:val="both"/>
      </w:pPr>
      <w:r>
        <w:t>There are two rules which guide hazardous substance emissions: CERCLA (Comprehensive Environmental Response, Compensation and Liability Act) and EPCRA (Emergency Planning and Community Right to Know Act).  CERCLA, aka Superfund, identif</w:t>
      </w:r>
      <w:r w:rsidR="00C74A1E">
        <w:t>ies</w:t>
      </w:r>
      <w:r>
        <w:t xml:space="preserve"> sites where hazardous materials threaten the environment or public health when released.  EPCRA </w:t>
      </w:r>
      <w:r w:rsidR="00C74A1E">
        <w:t>assists</w:t>
      </w:r>
      <w:r>
        <w:t xml:space="preserve"> communities </w:t>
      </w:r>
      <w:r w:rsidR="00C74A1E">
        <w:t xml:space="preserve">in </w:t>
      </w:r>
      <w:r>
        <w:t>plan</w:t>
      </w:r>
      <w:r w:rsidR="00C74A1E">
        <w:t>ning</w:t>
      </w:r>
      <w:r>
        <w:t xml:space="preserve"> for releases of hazardous substances whenever they occur.  </w:t>
      </w:r>
      <w:r w:rsidR="002A314D">
        <w:t xml:space="preserve"> </w:t>
      </w:r>
    </w:p>
    <w:p w:rsidR="000E6B69" w:rsidRDefault="000E6B69" w:rsidP="00C75F2E">
      <w:pPr>
        <w:jc w:val="both"/>
      </w:pPr>
    </w:p>
    <w:p w:rsidR="00A50D7E" w:rsidRDefault="00EA0BBB" w:rsidP="00C75F2E">
      <w:pPr>
        <w:jc w:val="both"/>
      </w:pPr>
      <w:r>
        <w:t xml:space="preserve">In 2008, EPA </w:t>
      </w:r>
      <w:r w:rsidR="00C74A1E">
        <w:t>came up with</w:t>
      </w:r>
      <w:r w:rsidR="008E448B">
        <w:t xml:space="preserve"> farming exemptions for CERCLA and EPCRA, leaving only the </w:t>
      </w:r>
      <w:r w:rsidR="000E6B69">
        <w:t xml:space="preserve">large </w:t>
      </w:r>
      <w:r w:rsidR="008E448B">
        <w:t>concentrated animal feeding operations (</w:t>
      </w:r>
      <w:r w:rsidR="00DB570E">
        <w:t>CAFOs</w:t>
      </w:r>
      <w:r w:rsidR="008E448B">
        <w:t xml:space="preserve">) </w:t>
      </w:r>
      <w:r w:rsidR="000E6B69">
        <w:t xml:space="preserve">to do EPCRA reporting.  Citizen groups sued the EPA over this and </w:t>
      </w:r>
      <w:r w:rsidR="00C74A1E">
        <w:t xml:space="preserve">in April of this year, </w:t>
      </w:r>
      <w:r w:rsidR="000E6B69">
        <w:t xml:space="preserve">a U.S. Court of Appeals overturned EPA’s </w:t>
      </w:r>
      <w:r w:rsidR="008E448B">
        <w:t>exemptions</w:t>
      </w:r>
      <w:r w:rsidR="002A314D">
        <w:t>.</w:t>
      </w:r>
      <w:r w:rsidR="008E448B">
        <w:t xml:space="preserve">  </w:t>
      </w:r>
    </w:p>
    <w:p w:rsidR="008E448B" w:rsidRDefault="008E448B" w:rsidP="00C75F2E">
      <w:pPr>
        <w:jc w:val="both"/>
      </w:pPr>
    </w:p>
    <w:p w:rsidR="008E448B" w:rsidRDefault="00A50D7E" w:rsidP="00C75F2E">
      <w:pPr>
        <w:jc w:val="both"/>
      </w:pPr>
      <w:r>
        <w:t xml:space="preserve">EPA is </w:t>
      </w:r>
      <w:r w:rsidR="008E448B">
        <w:t xml:space="preserve">still </w:t>
      </w:r>
      <w:r>
        <w:t>working on reviewing and clarifying the rules for animal waste reporting</w:t>
      </w:r>
      <w:r w:rsidR="008E448B">
        <w:t xml:space="preserve">.  Only last week did they give some guidance on what to do.  </w:t>
      </w:r>
      <w:r>
        <w:t xml:space="preserve">Until they can come up with </w:t>
      </w:r>
      <w:r w:rsidR="008E448B">
        <w:t>something more s</w:t>
      </w:r>
      <w:r w:rsidR="00C74A1E">
        <w:t xml:space="preserve">pecific, </w:t>
      </w:r>
      <w:r>
        <w:t>the court ruling stands</w:t>
      </w:r>
      <w:r w:rsidR="00C74A1E">
        <w:t xml:space="preserve"> as-is</w:t>
      </w:r>
      <w:r>
        <w:t xml:space="preserve">.  </w:t>
      </w:r>
    </w:p>
    <w:p w:rsidR="008E448B" w:rsidRDefault="008E448B" w:rsidP="00C75F2E">
      <w:pPr>
        <w:jc w:val="both"/>
      </w:pPr>
    </w:p>
    <w:p w:rsidR="00E805C0" w:rsidRPr="00036272" w:rsidRDefault="00E805C0" w:rsidP="00C75F2E">
      <w:pPr>
        <w:jc w:val="both"/>
        <w:rPr>
          <w:b/>
        </w:rPr>
      </w:pPr>
      <w:r w:rsidRPr="00036272">
        <w:rPr>
          <w:b/>
        </w:rPr>
        <w:t xml:space="preserve">Who is </w:t>
      </w:r>
      <w:proofErr w:type="gramStart"/>
      <w:r w:rsidRPr="00036272">
        <w:rPr>
          <w:b/>
        </w:rPr>
        <w:t>Required</w:t>
      </w:r>
      <w:proofErr w:type="gramEnd"/>
      <w:r w:rsidRPr="00036272">
        <w:rPr>
          <w:b/>
        </w:rPr>
        <w:t xml:space="preserve"> to Report</w:t>
      </w:r>
      <w:r w:rsidR="008E448B">
        <w:rPr>
          <w:b/>
        </w:rPr>
        <w:t xml:space="preserve"> Per CERCLA</w:t>
      </w:r>
      <w:r w:rsidRPr="00036272">
        <w:rPr>
          <w:b/>
        </w:rPr>
        <w:t>?</w:t>
      </w:r>
    </w:p>
    <w:p w:rsidR="00E805C0" w:rsidRDefault="00E805C0" w:rsidP="00C75F2E">
      <w:pPr>
        <w:jc w:val="both"/>
      </w:pPr>
    </w:p>
    <w:p w:rsidR="00E805C0" w:rsidRDefault="00A50D7E" w:rsidP="00C75F2E">
      <w:pPr>
        <w:jc w:val="both"/>
      </w:pPr>
      <w:r>
        <w:t xml:space="preserve">If your </w:t>
      </w:r>
      <w:r w:rsidR="008E448B">
        <w:t>operations</w:t>
      </w:r>
      <w:r>
        <w:t xml:space="preserve"> </w:t>
      </w:r>
      <w:r w:rsidR="009033B5">
        <w:t>emit</w:t>
      </w:r>
      <w:r>
        <w:t xml:space="preserve"> more than 100 lbs</w:t>
      </w:r>
      <w:proofErr w:type="gramStart"/>
      <w:r>
        <w:t>./</w:t>
      </w:r>
      <w:proofErr w:type="gramEnd"/>
      <w:r>
        <w:t xml:space="preserve">day of ammonia or hydrogen sulfide you will need to report.  </w:t>
      </w:r>
      <w:r w:rsidR="009033B5">
        <w:t xml:space="preserve"> EPA doesn’t have firm </w:t>
      </w:r>
      <w:r w:rsidR="008E448B">
        <w:t xml:space="preserve">numbers </w:t>
      </w:r>
      <w:r w:rsidR="009033B5">
        <w:t>in their rules on how to determine</w:t>
      </w:r>
      <w:r w:rsidR="00930EC4">
        <w:t xml:space="preserve"> this, but th</w:t>
      </w:r>
      <w:r w:rsidR="009033B5">
        <w:t>ey’ve included worksheets and references</w:t>
      </w:r>
      <w:r w:rsidR="00930EC4">
        <w:t xml:space="preserve"> documents</w:t>
      </w:r>
      <w:r w:rsidR="009033B5">
        <w:t xml:space="preserve"> from agricultural researchers and universities</w:t>
      </w:r>
      <w:r w:rsidR="00930EC4">
        <w:t xml:space="preserve"> to help</w:t>
      </w:r>
      <w:r w:rsidR="009033B5">
        <w:t xml:space="preserve">.  The following are example quantities </w:t>
      </w:r>
      <w:r w:rsidR="008E448B">
        <w:t>based on the worksheets</w:t>
      </w:r>
      <w:r w:rsidR="009033B5">
        <w:t xml:space="preserve">.  There are </w:t>
      </w:r>
      <w:r w:rsidR="00930EC4">
        <w:t xml:space="preserve">many </w:t>
      </w:r>
      <w:r w:rsidR="009033B5">
        <w:t xml:space="preserve">nuances to </w:t>
      </w:r>
      <w:r w:rsidR="00542CAC">
        <w:t>each calculation includi</w:t>
      </w:r>
      <w:r w:rsidR="008E448B">
        <w:t xml:space="preserve">ng time of year, age </w:t>
      </w:r>
      <w:r w:rsidR="008E448B">
        <w:lastRenderedPageBreak/>
        <w:t xml:space="preserve">of animal, </w:t>
      </w:r>
      <w:r w:rsidR="00542CAC">
        <w:t xml:space="preserve">type of animal, </w:t>
      </w:r>
      <w:r w:rsidR="00C1337B">
        <w:t xml:space="preserve">housing, how you handle the manure, </w:t>
      </w:r>
      <w:r w:rsidR="00542CAC">
        <w:t>an</w:t>
      </w:r>
      <w:r w:rsidR="00930EC4">
        <w:t>d more, but this may give a snapshot</w:t>
      </w:r>
      <w:r w:rsidR="00542CAC">
        <w:t xml:space="preserve"> </w:t>
      </w:r>
      <w:r w:rsidR="00EC3C88">
        <w:t xml:space="preserve">idea </w:t>
      </w:r>
      <w:r w:rsidR="00542CAC">
        <w:t>of size:</w:t>
      </w:r>
    </w:p>
    <w:p w:rsidR="00542CAC" w:rsidRDefault="00542CAC" w:rsidP="00C75F2E">
      <w:pPr>
        <w:jc w:val="both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4140"/>
        <w:gridCol w:w="4135"/>
      </w:tblGrid>
      <w:tr w:rsidR="00542CAC" w:rsidRPr="00036272" w:rsidTr="003E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42CAC" w:rsidRPr="003E6DCE" w:rsidRDefault="00542CAC" w:rsidP="003E6DCE">
            <w:pPr>
              <w:jc w:val="center"/>
            </w:pPr>
            <w:r w:rsidRPr="003E6DCE">
              <w:t>Animal</w:t>
            </w:r>
          </w:p>
        </w:tc>
        <w:tc>
          <w:tcPr>
            <w:tcW w:w="4140" w:type="dxa"/>
            <w:vAlign w:val="center"/>
          </w:tcPr>
          <w:p w:rsidR="00542CAC" w:rsidRPr="00036272" w:rsidRDefault="00F15613" w:rsidP="003E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36272">
              <w:rPr>
                <w:sz w:val="20"/>
              </w:rPr>
              <w:t>Quantity Before Exceedance for</w:t>
            </w:r>
          </w:p>
          <w:p w:rsidR="00F15613" w:rsidRPr="003E6DCE" w:rsidRDefault="00F15613" w:rsidP="003E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CE">
              <w:t>AMMONIA</w:t>
            </w:r>
          </w:p>
        </w:tc>
        <w:tc>
          <w:tcPr>
            <w:tcW w:w="4135" w:type="dxa"/>
            <w:vAlign w:val="center"/>
          </w:tcPr>
          <w:p w:rsidR="00F15613" w:rsidRPr="00036272" w:rsidRDefault="00F15613" w:rsidP="003E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36272">
              <w:rPr>
                <w:sz w:val="20"/>
              </w:rPr>
              <w:t>Quantity Before Exceedance for</w:t>
            </w:r>
          </w:p>
          <w:p w:rsidR="00542CAC" w:rsidRPr="003E6DCE" w:rsidRDefault="00F15613" w:rsidP="003E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CE">
              <w:t>HYDROGEN SULFIDE</w:t>
            </w:r>
          </w:p>
        </w:tc>
      </w:tr>
      <w:tr w:rsidR="00542CAC" w:rsidTr="003E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42CAC" w:rsidRPr="00930EC4" w:rsidRDefault="00542CAC" w:rsidP="00036272">
            <w:pPr>
              <w:rPr>
                <w:b w:val="0"/>
              </w:rPr>
            </w:pPr>
            <w:r w:rsidRPr="00930EC4">
              <w:rPr>
                <w:b w:val="0"/>
              </w:rPr>
              <w:t>Dairy Cattle</w:t>
            </w:r>
          </w:p>
        </w:tc>
        <w:tc>
          <w:tcPr>
            <w:tcW w:w="4140" w:type="dxa"/>
          </w:tcPr>
          <w:p w:rsidR="00542CAC" w:rsidRDefault="00542CAC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3,571 cattle (winter)</w:t>
            </w:r>
          </w:p>
          <w:p w:rsidR="00542CAC" w:rsidRDefault="00542CAC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1,428 cattle (summer)</w:t>
            </w:r>
          </w:p>
        </w:tc>
        <w:tc>
          <w:tcPr>
            <w:tcW w:w="4135" w:type="dxa"/>
          </w:tcPr>
          <w:p w:rsidR="00542CAC" w:rsidRDefault="00542CAC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746,268 anytime</w:t>
            </w:r>
          </w:p>
        </w:tc>
      </w:tr>
      <w:tr w:rsidR="00542CAC" w:rsidTr="003E6DC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42CAC" w:rsidRPr="00930EC4" w:rsidRDefault="00C1337B" w:rsidP="00036272">
            <w:pPr>
              <w:rPr>
                <w:b w:val="0"/>
              </w:rPr>
            </w:pPr>
            <w:r w:rsidRPr="00930EC4">
              <w:rPr>
                <w:b w:val="0"/>
              </w:rPr>
              <w:t xml:space="preserve">Swine </w:t>
            </w:r>
            <w:r w:rsidR="00F15613" w:rsidRPr="00930EC4">
              <w:rPr>
                <w:b w:val="0"/>
              </w:rPr>
              <w:br/>
            </w:r>
            <w:r w:rsidRPr="00930EC4">
              <w:rPr>
                <w:b w:val="0"/>
              </w:rPr>
              <w:t>(Grow-finishing stage, in pull-plug, scrape, flush or shallow pit, not deep pit)</w:t>
            </w:r>
          </w:p>
        </w:tc>
        <w:tc>
          <w:tcPr>
            <w:tcW w:w="4140" w:type="dxa"/>
          </w:tcPr>
          <w:p w:rsidR="00542CAC" w:rsidRDefault="00027D74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18,183 (lower bound, lowest head count)</w:t>
            </w:r>
          </w:p>
          <w:p w:rsidR="00027D74" w:rsidRDefault="00027D74" w:rsidP="00027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1,818 (upper bound, permitted head count)</w:t>
            </w:r>
          </w:p>
        </w:tc>
        <w:tc>
          <w:tcPr>
            <w:tcW w:w="4135" w:type="dxa"/>
          </w:tcPr>
          <w:p w:rsidR="00027D74" w:rsidRDefault="00027D74" w:rsidP="00027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96,163 (lower bound, lowest head count)</w:t>
            </w:r>
          </w:p>
          <w:p w:rsidR="00542CAC" w:rsidRDefault="00027D74" w:rsidP="00027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9,616 (upper bound, permitted head count)</w:t>
            </w:r>
          </w:p>
        </w:tc>
      </w:tr>
      <w:tr w:rsidR="00F15613" w:rsidTr="003E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15613" w:rsidRPr="00930EC4" w:rsidRDefault="00DB570E" w:rsidP="00036272">
            <w:pPr>
              <w:rPr>
                <w:b w:val="0"/>
              </w:rPr>
            </w:pPr>
            <w:r w:rsidRPr="00930EC4">
              <w:rPr>
                <w:b w:val="0"/>
              </w:rPr>
              <w:t xml:space="preserve">Poultry – </w:t>
            </w:r>
            <w:r w:rsidR="00F15613" w:rsidRPr="00930EC4">
              <w:rPr>
                <w:b w:val="0"/>
              </w:rPr>
              <w:t>Laying Hens</w:t>
            </w:r>
          </w:p>
        </w:tc>
        <w:tc>
          <w:tcPr>
            <w:tcW w:w="4140" w:type="dxa"/>
          </w:tcPr>
          <w:p w:rsidR="00F15613" w:rsidRDefault="00F15613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Manure Belt Houses</w:t>
            </w:r>
          </w:p>
          <w:p w:rsidR="00F15613" w:rsidRDefault="00F15613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343,940 (</w:t>
            </w:r>
            <w:r w:rsidR="00027D74">
              <w:t>d</w:t>
            </w:r>
            <w:r>
              <w:t>aily manure removal)</w:t>
            </w:r>
          </w:p>
          <w:p w:rsidR="00F15613" w:rsidRDefault="00027D74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162,140 (e</w:t>
            </w:r>
            <w:r w:rsidR="00F15613">
              <w:t>very 3-4 day manure removal)</w:t>
            </w:r>
          </w:p>
          <w:p w:rsidR="00F15613" w:rsidRDefault="00F15613" w:rsidP="0003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Rise Houses</w:t>
            </w:r>
            <w:r w:rsidR="00EC3C88">
              <w:t xml:space="preserve"> – </w:t>
            </w:r>
            <w:r>
              <w:t>28,200</w:t>
            </w:r>
          </w:p>
        </w:tc>
        <w:tc>
          <w:tcPr>
            <w:tcW w:w="4135" w:type="dxa"/>
          </w:tcPr>
          <w:p w:rsidR="00F15613" w:rsidRDefault="00930EC4" w:rsidP="0093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8,176,615 in High Rise Houses</w:t>
            </w:r>
          </w:p>
        </w:tc>
      </w:tr>
      <w:tr w:rsidR="00F15613" w:rsidTr="003E6DC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15613" w:rsidRPr="00930EC4" w:rsidRDefault="00DB570E" w:rsidP="00036272">
            <w:pPr>
              <w:rPr>
                <w:b w:val="0"/>
              </w:rPr>
            </w:pPr>
            <w:r w:rsidRPr="00930EC4">
              <w:rPr>
                <w:b w:val="0"/>
              </w:rPr>
              <w:t xml:space="preserve">Poultry – </w:t>
            </w:r>
            <w:r w:rsidR="00F15613" w:rsidRPr="00930EC4">
              <w:rPr>
                <w:b w:val="0"/>
              </w:rPr>
              <w:t>Broilers</w:t>
            </w:r>
          </w:p>
        </w:tc>
        <w:tc>
          <w:tcPr>
            <w:tcW w:w="4140" w:type="dxa"/>
          </w:tcPr>
          <w:p w:rsidR="00F15613" w:rsidRDefault="00F15613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31,310 (40-day on built up litter)</w:t>
            </w:r>
          </w:p>
          <w:p w:rsidR="00F15613" w:rsidRDefault="00F15613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21,020 (63-day on built up litter)</w:t>
            </w:r>
          </w:p>
          <w:p w:rsidR="00F15613" w:rsidRDefault="00F15613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49,850 (52-day on new bedding)</w:t>
            </w:r>
          </w:p>
        </w:tc>
        <w:tc>
          <w:tcPr>
            <w:tcW w:w="4135" w:type="dxa"/>
          </w:tcPr>
          <w:p w:rsidR="00F15613" w:rsidRDefault="00930EC4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3,846,150 (52-day on litter)</w:t>
            </w:r>
          </w:p>
          <w:p w:rsidR="00930EC4" w:rsidRDefault="00930EC4" w:rsidP="00036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CAC" w:rsidRDefault="00542CAC" w:rsidP="00C75F2E">
      <w:pPr>
        <w:jc w:val="both"/>
      </w:pPr>
    </w:p>
    <w:p w:rsidR="00480BE6" w:rsidRDefault="00480BE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E6B69" w:rsidRPr="00036272" w:rsidRDefault="00E805C0">
      <w:pPr>
        <w:jc w:val="both"/>
        <w:rPr>
          <w:rFonts w:cstheme="minorHAnsi"/>
          <w:b/>
        </w:rPr>
      </w:pPr>
      <w:r w:rsidRPr="00036272">
        <w:rPr>
          <w:rFonts w:cstheme="minorHAnsi"/>
          <w:b/>
        </w:rPr>
        <w:lastRenderedPageBreak/>
        <w:t>How Do I Report</w:t>
      </w:r>
      <w:r w:rsidR="00DB570E" w:rsidRPr="00036272">
        <w:rPr>
          <w:rFonts w:cstheme="minorHAnsi"/>
          <w:b/>
        </w:rPr>
        <w:t xml:space="preserve"> and Who Do I Report To</w:t>
      </w:r>
      <w:r w:rsidRPr="00036272">
        <w:rPr>
          <w:rFonts w:cstheme="minorHAnsi"/>
          <w:b/>
        </w:rPr>
        <w:t>?</w:t>
      </w:r>
    </w:p>
    <w:p w:rsidR="00E805C0" w:rsidRDefault="00E805C0">
      <w:pPr>
        <w:jc w:val="both"/>
      </w:pPr>
    </w:p>
    <w:p w:rsidR="00EC3C88" w:rsidRDefault="00036272" w:rsidP="00EC3C88">
      <w:pPr>
        <w:jc w:val="both"/>
      </w:pPr>
      <w:r>
        <w:t xml:space="preserve">Traditional CERCLA rules say you must notify every time there’s an exceedance, but because your animals will be onsite each day, it can be treated as a continuous release, with only one notification. </w:t>
      </w:r>
      <w:r w:rsidR="00EC3C88" w:rsidRPr="002A314D">
        <w:rPr>
          <w:i/>
        </w:rPr>
        <w:t>The federal rule require you to call the National Response Center (800-424-8802), identify your release as an “initial continuous release notification,” submit initial written notification forms to your EPA regional office, and then one year later, submit additional follow-up written notifications to the EPA Regional Office.</w:t>
      </w:r>
      <w:r w:rsidR="00EC3C88" w:rsidRPr="00EC3C88">
        <w:t xml:space="preserve"> </w:t>
      </w:r>
      <w:r w:rsidR="00EC3C88">
        <w:t xml:space="preserve"> If you’re a CAFO</w:t>
      </w:r>
      <w:r w:rsidR="00480BE6">
        <w:t xml:space="preserve"> who</w:t>
      </w:r>
      <w:r w:rsidR="00EC3C88">
        <w:t xml:space="preserve"> is already a member of EPA’s Animal Feeding Operation Air Compliance Agreement program, you don’t need to do additional reporting beyond what you’re already doing.</w:t>
      </w:r>
    </w:p>
    <w:p w:rsidR="00EC3C88" w:rsidRDefault="00EC3C88">
      <w:pPr>
        <w:jc w:val="both"/>
      </w:pPr>
    </w:p>
    <w:p w:rsidR="00036272" w:rsidRDefault="00DB570E" w:rsidP="00EC3C88">
      <w:pPr>
        <w:jc w:val="both"/>
      </w:pPr>
      <w:r>
        <w:t xml:space="preserve">State environmental departments also could have their </w:t>
      </w:r>
      <w:r w:rsidR="00430798">
        <w:t>own rules</w:t>
      </w:r>
      <w:r w:rsidR="00036272">
        <w:t xml:space="preserve"> for this.  As with any environmental regulation, s</w:t>
      </w:r>
      <w:r w:rsidR="00430798">
        <w:t xml:space="preserve">tates are allowed to choose to follow EPA federal guidelines, or provide rules which exceed them.  Because of the short timeline from when the court reinstated the rule, </w:t>
      </w:r>
      <w:proofErr w:type="gramStart"/>
      <w:r w:rsidR="00430798">
        <w:t>it’s</w:t>
      </w:r>
      <w:proofErr w:type="gramEnd"/>
      <w:r w:rsidR="00430798">
        <w:t xml:space="preserve"> likely states are still determining the positions they want to take on continuous release reporting.</w:t>
      </w:r>
      <w:r w:rsidR="00036272">
        <w:t xml:space="preserve">  Check with your state, but it’s likely that you will be able to follow the federal guidelines until further clarification</w:t>
      </w:r>
      <w:r w:rsidR="00480BE6">
        <w:t xml:space="preserve"> from them is communicated</w:t>
      </w:r>
      <w:r w:rsidR="00036272">
        <w:t xml:space="preserve">.  </w:t>
      </w:r>
    </w:p>
    <w:p w:rsidR="002A314D" w:rsidRPr="002A314D" w:rsidRDefault="002A314D" w:rsidP="002A314D">
      <w:pPr>
        <w:jc w:val="both"/>
        <w:rPr>
          <w:dstrike/>
        </w:rPr>
      </w:pPr>
      <w:bookmarkStart w:id="0" w:name="_GoBack"/>
      <w:bookmarkEnd w:id="0"/>
    </w:p>
    <w:p w:rsidR="004D194A" w:rsidRPr="002A314D" w:rsidRDefault="004D194A" w:rsidP="00EC3C88">
      <w:pPr>
        <w:jc w:val="both"/>
        <w:rPr>
          <w:dstrike/>
        </w:rPr>
      </w:pPr>
    </w:p>
    <w:p w:rsidR="00EC3C88" w:rsidRPr="002A314D" w:rsidRDefault="00EC3C88">
      <w:pPr>
        <w:jc w:val="both"/>
        <w:rPr>
          <w:dstrike/>
        </w:rPr>
      </w:pPr>
    </w:p>
    <w:sectPr w:rsidR="00EC3C88" w:rsidRPr="002A314D" w:rsidSect="00EC3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BB"/>
    <w:rsid w:val="00027D74"/>
    <w:rsid w:val="00036272"/>
    <w:rsid w:val="000E6B69"/>
    <w:rsid w:val="002A314D"/>
    <w:rsid w:val="003E6DCE"/>
    <w:rsid w:val="00430798"/>
    <w:rsid w:val="00480BE6"/>
    <w:rsid w:val="004D194A"/>
    <w:rsid w:val="00542291"/>
    <w:rsid w:val="00542CAC"/>
    <w:rsid w:val="00712277"/>
    <w:rsid w:val="007F3CCF"/>
    <w:rsid w:val="008E158F"/>
    <w:rsid w:val="008E448B"/>
    <w:rsid w:val="008F24A2"/>
    <w:rsid w:val="009033B5"/>
    <w:rsid w:val="00930EC4"/>
    <w:rsid w:val="00A50D7E"/>
    <w:rsid w:val="00C1337B"/>
    <w:rsid w:val="00C74A1E"/>
    <w:rsid w:val="00C75F2E"/>
    <w:rsid w:val="00DB570E"/>
    <w:rsid w:val="00DF4A15"/>
    <w:rsid w:val="00E805C0"/>
    <w:rsid w:val="00EA0BBB"/>
    <w:rsid w:val="00EC3C88"/>
    <w:rsid w:val="00F15613"/>
    <w:rsid w:val="00F46AD9"/>
    <w:rsid w:val="00F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4F53-A6D2-4821-87F8-44D75946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30EC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3516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2017-11-02T20:55:00Z</dcterms:created>
  <dcterms:modified xsi:type="dcterms:W3CDTF">2017-11-02T20:55:00Z</dcterms:modified>
</cp:coreProperties>
</file>