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FDC" w:rsidRPr="00C0208F" w:rsidRDefault="00023D52" w:rsidP="00C0208F">
      <w:pPr>
        <w:spacing w:after="0" w:line="240" w:lineRule="auto"/>
        <w:rPr>
          <w:rFonts w:cstheme="minorHAnsi"/>
          <w:b/>
          <w:sz w:val="28"/>
        </w:rPr>
      </w:pPr>
      <w:r w:rsidRPr="00C0208F">
        <w:rPr>
          <w:rFonts w:cstheme="minorHAnsi"/>
          <w:b/>
          <w:sz w:val="28"/>
        </w:rPr>
        <w:t xml:space="preserve">Machine Guarding is the Real Focus of Renewed </w:t>
      </w:r>
      <w:r w:rsidR="005E7B51" w:rsidRPr="00C0208F">
        <w:rPr>
          <w:rFonts w:cstheme="minorHAnsi"/>
          <w:b/>
          <w:sz w:val="28"/>
        </w:rPr>
        <w:t xml:space="preserve">OSHA Emphasis </w:t>
      </w:r>
      <w:r w:rsidRPr="00C0208F">
        <w:rPr>
          <w:rFonts w:cstheme="minorHAnsi"/>
          <w:b/>
          <w:sz w:val="28"/>
        </w:rPr>
        <w:t>Program</w:t>
      </w:r>
    </w:p>
    <w:p w:rsidR="005E7B51" w:rsidRPr="00C0208F" w:rsidRDefault="005E7B51" w:rsidP="00C0208F">
      <w:pPr>
        <w:spacing w:after="0" w:line="240" w:lineRule="auto"/>
        <w:rPr>
          <w:rFonts w:cstheme="minorHAnsi"/>
        </w:rPr>
      </w:pPr>
    </w:p>
    <w:p w:rsidR="005E7B51" w:rsidRPr="00C0208F" w:rsidRDefault="005E7B51" w:rsidP="00C0208F">
      <w:pPr>
        <w:spacing w:after="0" w:line="240" w:lineRule="auto"/>
        <w:rPr>
          <w:rFonts w:cstheme="minorHAnsi"/>
        </w:rPr>
      </w:pPr>
      <w:r w:rsidRPr="00C0208F">
        <w:rPr>
          <w:rFonts w:cstheme="minorHAnsi"/>
        </w:rPr>
        <w:t xml:space="preserve">OSHA has </w:t>
      </w:r>
      <w:r w:rsidR="00023D52" w:rsidRPr="00C0208F">
        <w:rPr>
          <w:rFonts w:cstheme="minorHAnsi"/>
        </w:rPr>
        <w:t>updated and renewed its National Emphasis Program on amputations</w:t>
      </w:r>
      <w:r w:rsidR="00791DE3">
        <w:rPr>
          <w:rFonts w:cstheme="minorHAnsi"/>
        </w:rPr>
        <w:t xml:space="preserve"> in manufacturing facilities</w:t>
      </w:r>
      <w:r w:rsidR="00023D52" w:rsidRPr="00C0208F">
        <w:rPr>
          <w:rFonts w:cstheme="minorHAnsi"/>
        </w:rPr>
        <w:t>.  With this emphasis, OSHA will be targeting manufacturers and industrial facilities, with a focus on machine guarding and lockout-</w:t>
      </w:r>
      <w:proofErr w:type="spellStart"/>
      <w:r w:rsidR="00023D52" w:rsidRPr="00C0208F">
        <w:rPr>
          <w:rFonts w:cstheme="minorHAnsi"/>
        </w:rPr>
        <w:t>tagout</w:t>
      </w:r>
      <w:proofErr w:type="spellEnd"/>
      <w:r w:rsidR="00023D52" w:rsidRPr="00C0208F">
        <w:rPr>
          <w:rFonts w:cstheme="minorHAnsi"/>
        </w:rPr>
        <w:t xml:space="preserve">. </w:t>
      </w:r>
    </w:p>
    <w:p w:rsidR="00C0208F" w:rsidRDefault="00C0208F" w:rsidP="00C0208F">
      <w:pPr>
        <w:spacing w:after="0" w:line="240" w:lineRule="auto"/>
        <w:rPr>
          <w:rFonts w:cstheme="minorHAnsi"/>
        </w:rPr>
      </w:pPr>
    </w:p>
    <w:p w:rsidR="00023D52" w:rsidRPr="00791DE3" w:rsidRDefault="00023D52" w:rsidP="00C0208F">
      <w:pPr>
        <w:spacing w:after="0" w:line="240" w:lineRule="auto"/>
        <w:rPr>
          <w:rFonts w:cstheme="minorHAnsi"/>
          <w:b/>
          <w:color w:val="C00000"/>
        </w:rPr>
      </w:pPr>
      <w:proofErr w:type="gramStart"/>
      <w:r w:rsidRPr="00791DE3">
        <w:rPr>
          <w:rFonts w:cstheme="minorHAnsi"/>
          <w:b/>
          <w:color w:val="C00000"/>
        </w:rPr>
        <w:t>Who’s</w:t>
      </w:r>
      <w:proofErr w:type="gramEnd"/>
      <w:r w:rsidRPr="00791DE3">
        <w:rPr>
          <w:rFonts w:cstheme="minorHAnsi"/>
          <w:b/>
          <w:color w:val="C00000"/>
        </w:rPr>
        <w:t xml:space="preserve"> On the List?</w:t>
      </w:r>
    </w:p>
    <w:p w:rsidR="00C0208F" w:rsidRPr="00C0208F" w:rsidRDefault="00C0208F" w:rsidP="00C0208F">
      <w:pPr>
        <w:spacing w:after="0" w:line="240" w:lineRule="auto"/>
        <w:rPr>
          <w:rFonts w:cstheme="minorHAnsi"/>
          <w:b/>
        </w:rPr>
      </w:pPr>
    </w:p>
    <w:p w:rsidR="00791DE3" w:rsidRDefault="00023D52" w:rsidP="00C0208F">
      <w:pPr>
        <w:spacing w:after="0" w:line="240" w:lineRule="auto"/>
        <w:rPr>
          <w:rFonts w:cstheme="minorHAnsi"/>
        </w:rPr>
      </w:pPr>
      <w:r w:rsidRPr="00C0208F">
        <w:rPr>
          <w:rFonts w:cstheme="minorHAnsi"/>
        </w:rPr>
        <w:t>Machine guarding and lockout-</w:t>
      </w:r>
      <w:proofErr w:type="spellStart"/>
      <w:r w:rsidRPr="00C0208F">
        <w:rPr>
          <w:rFonts w:cstheme="minorHAnsi"/>
        </w:rPr>
        <w:t>tagout</w:t>
      </w:r>
      <w:proofErr w:type="spellEnd"/>
      <w:r w:rsidRPr="00C0208F">
        <w:rPr>
          <w:rFonts w:cstheme="minorHAnsi"/>
        </w:rPr>
        <w:t xml:space="preserve"> are annual residents on OSHA’s top 10 list of violations and cause amputations and injuries each year.  OSHA has had amputations on its national emphasis since before 2015, but </w:t>
      </w:r>
      <w:proofErr w:type="gramStart"/>
      <w:r w:rsidRPr="00C0208F">
        <w:rPr>
          <w:rFonts w:cstheme="minorHAnsi"/>
        </w:rPr>
        <w:t>they’ve</w:t>
      </w:r>
      <w:proofErr w:type="gramEnd"/>
      <w:r w:rsidRPr="00C0208F">
        <w:rPr>
          <w:rFonts w:cstheme="minorHAnsi"/>
        </w:rPr>
        <w:t xml:space="preserve"> updated it with a new list of potential NAICS codes to target based on data from 2015 to 2018.  OSHA is going to target industries with higher rates of machine guarding and lockout-</w:t>
      </w:r>
      <w:proofErr w:type="spellStart"/>
      <w:r w:rsidRPr="00C0208F">
        <w:rPr>
          <w:rFonts w:cstheme="minorHAnsi"/>
        </w:rPr>
        <w:t>tagout</w:t>
      </w:r>
      <w:proofErr w:type="spellEnd"/>
      <w:r w:rsidRPr="00C0208F">
        <w:rPr>
          <w:rFonts w:cstheme="minorHAnsi"/>
        </w:rPr>
        <w:t xml:space="preserve"> violations, higher rates of related incidents, higher rates of amputations</w:t>
      </w:r>
      <w:r w:rsidR="00C0208F" w:rsidRPr="00C0208F">
        <w:rPr>
          <w:rFonts w:cstheme="minorHAnsi"/>
        </w:rPr>
        <w:t>, those with amputations within the past 5 years, and those with machine-related injuries or fatalities</w:t>
      </w:r>
      <w:r w:rsidRPr="00C0208F">
        <w:rPr>
          <w:rFonts w:cstheme="minorHAnsi"/>
        </w:rPr>
        <w:t xml:space="preserve">.  </w:t>
      </w:r>
      <w:proofErr w:type="gramStart"/>
      <w:r w:rsidRPr="00C0208F">
        <w:rPr>
          <w:rFonts w:cstheme="minorHAnsi"/>
        </w:rPr>
        <w:t>They’ve</w:t>
      </w:r>
      <w:proofErr w:type="gramEnd"/>
      <w:r w:rsidRPr="00C0208F">
        <w:rPr>
          <w:rFonts w:cstheme="minorHAnsi"/>
        </w:rPr>
        <w:t xml:space="preserve"> developed a target list of around 130 targ</w:t>
      </w:r>
      <w:r w:rsidR="00791DE3">
        <w:rPr>
          <w:rFonts w:cstheme="minorHAnsi"/>
        </w:rPr>
        <w:t>eted NAICS codes</w:t>
      </w:r>
      <w:r w:rsidRPr="00C0208F">
        <w:rPr>
          <w:rFonts w:cstheme="minorHAnsi"/>
        </w:rPr>
        <w:t xml:space="preserve">. </w:t>
      </w:r>
    </w:p>
    <w:p w:rsidR="00791DE3" w:rsidRDefault="00791DE3" w:rsidP="00C0208F">
      <w:pPr>
        <w:spacing w:after="0" w:line="240" w:lineRule="auto"/>
        <w:rPr>
          <w:rFonts w:cstheme="minorHAnsi"/>
        </w:rPr>
      </w:pPr>
    </w:p>
    <w:p w:rsidR="00023D52" w:rsidRPr="00C0208F" w:rsidRDefault="00023D52" w:rsidP="00C0208F">
      <w:pPr>
        <w:spacing w:after="0" w:line="240" w:lineRule="auto"/>
        <w:rPr>
          <w:rFonts w:cstheme="minorHAnsi"/>
        </w:rPr>
      </w:pPr>
      <w:bookmarkStart w:id="0" w:name="_GoBack"/>
      <w:bookmarkEnd w:id="0"/>
      <w:r w:rsidRPr="00C0208F">
        <w:rPr>
          <w:rFonts w:cstheme="minorHAnsi"/>
        </w:rPr>
        <w:t xml:space="preserve">Companies with less than 10 employees will not be </w:t>
      </w:r>
      <w:r w:rsidR="00C0208F" w:rsidRPr="00C0208F">
        <w:rPr>
          <w:rFonts w:cstheme="minorHAnsi"/>
        </w:rPr>
        <w:t xml:space="preserve">on the target </w:t>
      </w:r>
      <w:r w:rsidRPr="00C0208F">
        <w:rPr>
          <w:rFonts w:cstheme="minorHAnsi"/>
        </w:rPr>
        <w:t>list</w:t>
      </w:r>
      <w:r w:rsidR="00C0208F" w:rsidRPr="00C0208F">
        <w:rPr>
          <w:rFonts w:cstheme="minorHAnsi"/>
        </w:rPr>
        <w:t>, even if their NAICS code matches</w:t>
      </w:r>
      <w:r w:rsidRPr="00C0208F">
        <w:rPr>
          <w:rFonts w:cstheme="minorHAnsi"/>
        </w:rPr>
        <w:t>.</w:t>
      </w:r>
    </w:p>
    <w:p w:rsidR="00791DE3" w:rsidRDefault="00791DE3" w:rsidP="00C0208F">
      <w:pPr>
        <w:spacing w:after="0" w:line="240" w:lineRule="auto"/>
        <w:rPr>
          <w:rFonts w:cstheme="minorHAnsi"/>
        </w:rPr>
      </w:pPr>
    </w:p>
    <w:p w:rsidR="00023D52" w:rsidRPr="00C0208F" w:rsidRDefault="00C0208F" w:rsidP="00C0208F">
      <w:pPr>
        <w:spacing w:after="0" w:line="240" w:lineRule="auto"/>
        <w:rPr>
          <w:rFonts w:cstheme="minorHAnsi"/>
        </w:rPr>
      </w:pPr>
      <w:r w:rsidRPr="00C0208F">
        <w:rPr>
          <w:rFonts w:cstheme="minorHAnsi"/>
        </w:rPr>
        <w:t>Please remember that a</w:t>
      </w:r>
      <w:r w:rsidR="00023D52" w:rsidRPr="00C0208F">
        <w:rPr>
          <w:rFonts w:cstheme="minorHAnsi"/>
        </w:rPr>
        <w:t xml:space="preserve">s with all </w:t>
      </w:r>
      <w:r w:rsidRPr="00C0208F">
        <w:rPr>
          <w:rFonts w:cstheme="minorHAnsi"/>
        </w:rPr>
        <w:t xml:space="preserve">OSHA </w:t>
      </w:r>
      <w:r w:rsidR="00023D52" w:rsidRPr="00C0208F">
        <w:rPr>
          <w:rFonts w:cstheme="minorHAnsi"/>
        </w:rPr>
        <w:t xml:space="preserve">emphasis programs, if OSHA is onsite for another inspection, they can add this to </w:t>
      </w:r>
      <w:r w:rsidRPr="00C0208F">
        <w:rPr>
          <w:rFonts w:cstheme="minorHAnsi"/>
        </w:rPr>
        <w:t>their scope</w:t>
      </w:r>
      <w:r w:rsidR="00023D52" w:rsidRPr="00C0208F">
        <w:rPr>
          <w:rFonts w:cstheme="minorHAnsi"/>
        </w:rPr>
        <w:t xml:space="preserve">.  </w:t>
      </w:r>
    </w:p>
    <w:p w:rsidR="00C0208F" w:rsidRPr="00C0208F" w:rsidRDefault="00C0208F" w:rsidP="00C0208F">
      <w:pPr>
        <w:spacing w:after="0" w:line="240" w:lineRule="auto"/>
        <w:rPr>
          <w:rFonts w:cstheme="minorHAnsi"/>
        </w:rPr>
      </w:pPr>
    </w:p>
    <w:p w:rsidR="00C0208F" w:rsidRPr="00791DE3" w:rsidRDefault="00C0208F" w:rsidP="00C0208F">
      <w:pPr>
        <w:spacing w:after="0" w:line="240" w:lineRule="auto"/>
        <w:rPr>
          <w:rFonts w:cstheme="minorHAnsi"/>
          <w:b/>
          <w:color w:val="C00000"/>
        </w:rPr>
      </w:pPr>
      <w:r w:rsidRPr="00791DE3">
        <w:rPr>
          <w:rFonts w:cstheme="minorHAnsi"/>
          <w:b/>
          <w:color w:val="C00000"/>
        </w:rPr>
        <w:t xml:space="preserve">What </w:t>
      </w:r>
      <w:proofErr w:type="gramStart"/>
      <w:r w:rsidRPr="00791DE3">
        <w:rPr>
          <w:rFonts w:cstheme="minorHAnsi"/>
          <w:b/>
          <w:color w:val="C00000"/>
        </w:rPr>
        <w:t>Will Be Looked At</w:t>
      </w:r>
      <w:proofErr w:type="gramEnd"/>
      <w:r w:rsidRPr="00791DE3">
        <w:rPr>
          <w:rFonts w:cstheme="minorHAnsi"/>
          <w:b/>
          <w:color w:val="C00000"/>
        </w:rPr>
        <w:t>?</w:t>
      </w:r>
    </w:p>
    <w:p w:rsidR="00C0208F" w:rsidRPr="00C0208F" w:rsidRDefault="00C0208F" w:rsidP="00C0208F">
      <w:pPr>
        <w:spacing w:after="0" w:line="240" w:lineRule="auto"/>
        <w:rPr>
          <w:rFonts w:cstheme="minorHAnsi"/>
          <w:b/>
        </w:rPr>
      </w:pPr>
    </w:p>
    <w:p w:rsidR="00C0208F" w:rsidRPr="00AA6CD0" w:rsidRDefault="00C0208F" w:rsidP="00AA6CD0">
      <w:pPr>
        <w:spacing w:after="0" w:line="240" w:lineRule="auto"/>
        <w:rPr>
          <w:rFonts w:cstheme="minorHAnsi"/>
        </w:rPr>
      </w:pPr>
      <w:r w:rsidRPr="00AA6CD0">
        <w:rPr>
          <w:rFonts w:cstheme="minorHAnsi"/>
        </w:rPr>
        <w:t>In addition to reviewing 4 years of OSHA logs, they will be inspecting your machinery and equipment, looking for hazard potentials in:</w:t>
      </w:r>
    </w:p>
    <w:p w:rsidR="00C0208F" w:rsidRPr="00C0208F" w:rsidRDefault="00C0208F" w:rsidP="00C0208F">
      <w:pPr>
        <w:spacing w:after="0" w:line="240" w:lineRule="auto"/>
        <w:rPr>
          <w:rFonts w:cstheme="minorHAnsi"/>
        </w:rPr>
      </w:pPr>
    </w:p>
    <w:p w:rsidR="00C0208F" w:rsidRPr="00AA6CD0" w:rsidRDefault="00C0208F" w:rsidP="00AA6CD0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AA6CD0">
        <w:rPr>
          <w:rFonts w:cstheme="minorHAnsi"/>
        </w:rPr>
        <w:t>Pinch, Nip and Shear Points</w:t>
      </w:r>
    </w:p>
    <w:p w:rsidR="00C0208F" w:rsidRPr="00AA6CD0" w:rsidRDefault="00C0208F" w:rsidP="00AA6CD0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AA6CD0">
        <w:rPr>
          <w:rFonts w:cstheme="minorHAnsi"/>
        </w:rPr>
        <w:t>Cutting Actions</w:t>
      </w:r>
    </w:p>
    <w:p w:rsidR="00C0208F" w:rsidRPr="00AA6CD0" w:rsidRDefault="00C0208F" w:rsidP="00AA6CD0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AA6CD0">
        <w:rPr>
          <w:rFonts w:cstheme="minorHAnsi"/>
        </w:rPr>
        <w:t>Setup and Operation</w:t>
      </w:r>
    </w:p>
    <w:p w:rsidR="00C0208F" w:rsidRPr="00AA6CD0" w:rsidRDefault="00C0208F" w:rsidP="00AA6CD0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AA6CD0">
        <w:rPr>
          <w:rFonts w:cstheme="minorHAnsi"/>
        </w:rPr>
        <w:t>Clearing Jams or Upsets</w:t>
      </w:r>
    </w:p>
    <w:p w:rsidR="00C0208F" w:rsidRPr="00AA6CD0" w:rsidRDefault="00C0208F" w:rsidP="00AA6CD0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AA6CD0">
        <w:rPr>
          <w:rFonts w:cstheme="minorHAnsi"/>
        </w:rPr>
        <w:t>Making Adjustments When Operating</w:t>
      </w:r>
    </w:p>
    <w:p w:rsidR="00C0208F" w:rsidRPr="00AA6CD0" w:rsidRDefault="00C0208F" w:rsidP="00AA6CD0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AA6CD0">
        <w:rPr>
          <w:rFonts w:cstheme="minorHAnsi"/>
        </w:rPr>
        <w:t>Cleaning/Greasing/Oiling</w:t>
      </w:r>
    </w:p>
    <w:p w:rsidR="00C0208F" w:rsidRPr="00AA6CD0" w:rsidRDefault="00C0208F" w:rsidP="00AA6CD0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AA6CD0">
        <w:rPr>
          <w:rFonts w:cstheme="minorHAnsi"/>
        </w:rPr>
        <w:t>Scheduled and Unscheduled Maintenance</w:t>
      </w:r>
    </w:p>
    <w:p w:rsidR="00C0208F" w:rsidRDefault="00C0208F" w:rsidP="00AA6CD0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AA6CD0">
        <w:rPr>
          <w:rFonts w:cstheme="minorHAnsi"/>
        </w:rPr>
        <w:t>During the Lockout-</w:t>
      </w:r>
      <w:proofErr w:type="spellStart"/>
      <w:r w:rsidRPr="00AA6CD0">
        <w:rPr>
          <w:rFonts w:cstheme="minorHAnsi"/>
        </w:rPr>
        <w:t>Tagout</w:t>
      </w:r>
      <w:proofErr w:type="spellEnd"/>
      <w:r w:rsidRPr="00AA6CD0">
        <w:rPr>
          <w:rFonts w:cstheme="minorHAnsi"/>
        </w:rPr>
        <w:t xml:space="preserve"> Process</w:t>
      </w:r>
    </w:p>
    <w:p w:rsidR="00AA6CD0" w:rsidRDefault="00AA6CD0" w:rsidP="00AA6CD0">
      <w:pPr>
        <w:spacing w:after="0" w:line="240" w:lineRule="auto"/>
        <w:rPr>
          <w:rFonts w:cstheme="minorHAnsi"/>
        </w:rPr>
      </w:pPr>
    </w:p>
    <w:p w:rsidR="00AA6CD0" w:rsidRDefault="00AA6CD0" w:rsidP="00AA6CD0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Machine guarding is used to protect both the operator and everyone else who could </w:t>
      </w:r>
      <w:proofErr w:type="gramStart"/>
      <w:r>
        <w:rPr>
          <w:rFonts w:cstheme="minorHAnsi"/>
        </w:rPr>
        <w:t>come in contact with</w:t>
      </w:r>
      <w:proofErr w:type="gramEnd"/>
      <w:r>
        <w:rPr>
          <w:rFonts w:cstheme="minorHAnsi"/>
        </w:rPr>
        <w:t xml:space="preserve"> a machine.  Any machine, part, function or process that can cause injury </w:t>
      </w:r>
      <w:proofErr w:type="gramStart"/>
      <w:r>
        <w:rPr>
          <w:rFonts w:cstheme="minorHAnsi"/>
        </w:rPr>
        <w:t>must be safeguarded</w:t>
      </w:r>
      <w:proofErr w:type="gramEnd"/>
      <w:r>
        <w:rPr>
          <w:rFonts w:cstheme="minorHAnsi"/>
        </w:rPr>
        <w:t>.</w:t>
      </w:r>
    </w:p>
    <w:p w:rsidR="00AA6CD0" w:rsidRDefault="00AA6CD0" w:rsidP="00AA6CD0">
      <w:pPr>
        <w:spacing w:after="0" w:line="240" w:lineRule="auto"/>
        <w:rPr>
          <w:rFonts w:cstheme="minorHAnsi"/>
        </w:rPr>
      </w:pPr>
    </w:p>
    <w:p w:rsidR="00AA6CD0" w:rsidRDefault="00AA6CD0" w:rsidP="00AA6CD0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The best way to ensure you are ready for an inspection is to make sure </w:t>
      </w:r>
      <w:proofErr w:type="gramStart"/>
      <w:r>
        <w:rPr>
          <w:rFonts w:cstheme="minorHAnsi"/>
        </w:rPr>
        <w:t>you’re</w:t>
      </w:r>
      <w:proofErr w:type="gramEnd"/>
      <w:r>
        <w:rPr>
          <w:rFonts w:cstheme="minorHAnsi"/>
        </w:rPr>
        <w:t xml:space="preserve"> compliant with the following standards.  These will be the ones used by </w:t>
      </w:r>
      <w:proofErr w:type="gramStart"/>
      <w:r>
        <w:rPr>
          <w:rFonts w:cstheme="minorHAnsi"/>
        </w:rPr>
        <w:t>inspectors</w:t>
      </w:r>
      <w:proofErr w:type="gramEnd"/>
      <w:r>
        <w:rPr>
          <w:rFonts w:cstheme="minorHAnsi"/>
        </w:rPr>
        <w:t xml:space="preserve"> as they’re the ones that have the greater potential to cause amputations:</w:t>
      </w:r>
    </w:p>
    <w:p w:rsidR="00AA6CD0" w:rsidRDefault="00AA6CD0" w:rsidP="00AA6CD0">
      <w:pPr>
        <w:spacing w:after="0" w:line="240" w:lineRule="auto"/>
        <w:rPr>
          <w:rFonts w:cstheme="minorHAnsi"/>
        </w:rPr>
      </w:pPr>
    </w:p>
    <w:p w:rsidR="00AA6CD0" w:rsidRPr="00791DE3" w:rsidRDefault="00AA6CD0" w:rsidP="00AA6CD0">
      <w:pPr>
        <w:spacing w:after="0" w:line="240" w:lineRule="auto"/>
        <w:rPr>
          <w:rFonts w:cstheme="minorHAnsi"/>
          <w:b/>
        </w:rPr>
      </w:pPr>
      <w:r w:rsidRPr="00791DE3">
        <w:rPr>
          <w:rFonts w:cstheme="minorHAnsi"/>
          <w:b/>
        </w:rPr>
        <w:t>1910 Subpart J – General Environmental Controls</w:t>
      </w:r>
    </w:p>
    <w:p w:rsidR="00AA6CD0" w:rsidRDefault="00AA6CD0" w:rsidP="00AA6CD0">
      <w:pPr>
        <w:spacing w:after="0" w:line="240" w:lineRule="auto"/>
        <w:rPr>
          <w:rFonts w:cstheme="minorHAnsi"/>
        </w:rPr>
      </w:pPr>
    </w:p>
    <w:p w:rsidR="00AA6CD0" w:rsidRDefault="00AA6CD0" w:rsidP="00AA6CD0">
      <w:pPr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>1910.147</w:t>
      </w:r>
      <w:r>
        <w:rPr>
          <w:rFonts w:cstheme="minorHAnsi"/>
        </w:rPr>
        <w:tab/>
        <w:t>Control of Hazardous Energy (Lockout-</w:t>
      </w:r>
      <w:proofErr w:type="spellStart"/>
      <w:r>
        <w:rPr>
          <w:rFonts w:cstheme="minorHAnsi"/>
        </w:rPr>
        <w:t>Tagout</w:t>
      </w:r>
      <w:proofErr w:type="spellEnd"/>
      <w:r>
        <w:rPr>
          <w:rFonts w:cstheme="minorHAnsi"/>
        </w:rPr>
        <w:t>)</w:t>
      </w:r>
    </w:p>
    <w:p w:rsidR="00AA6CD0" w:rsidRDefault="00AA6CD0" w:rsidP="00AA6CD0">
      <w:pPr>
        <w:spacing w:after="0" w:line="240" w:lineRule="auto"/>
        <w:rPr>
          <w:rFonts w:cstheme="minorHAnsi"/>
        </w:rPr>
      </w:pPr>
    </w:p>
    <w:p w:rsidR="00AA6CD0" w:rsidRPr="00791DE3" w:rsidRDefault="00AA6CD0" w:rsidP="00AA6CD0">
      <w:pPr>
        <w:spacing w:after="0" w:line="240" w:lineRule="auto"/>
        <w:rPr>
          <w:rFonts w:cstheme="minorHAnsi"/>
          <w:b/>
        </w:rPr>
      </w:pPr>
      <w:r w:rsidRPr="00791DE3">
        <w:rPr>
          <w:rFonts w:cstheme="minorHAnsi"/>
          <w:b/>
        </w:rPr>
        <w:t xml:space="preserve">1910 Subpart O – </w:t>
      </w:r>
      <w:r w:rsidRPr="00791DE3">
        <w:rPr>
          <w:rFonts w:cstheme="minorHAnsi"/>
          <w:b/>
        </w:rPr>
        <w:t>Machine and Machine Guarding</w:t>
      </w:r>
    </w:p>
    <w:p w:rsidR="00AA6CD0" w:rsidRDefault="00AA6CD0" w:rsidP="00AA6CD0">
      <w:pPr>
        <w:spacing w:after="0" w:line="240" w:lineRule="auto"/>
        <w:rPr>
          <w:rFonts w:cstheme="minorHAnsi"/>
        </w:rPr>
      </w:pPr>
    </w:p>
    <w:p w:rsidR="00AA6CD0" w:rsidRDefault="00AA6CD0" w:rsidP="00AA6CD0">
      <w:pPr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>1910.212</w:t>
      </w:r>
      <w:r>
        <w:rPr>
          <w:rFonts w:cstheme="minorHAnsi"/>
        </w:rPr>
        <w:tab/>
        <w:t xml:space="preserve">General Requirements </w:t>
      </w:r>
    </w:p>
    <w:p w:rsidR="00AA6CD0" w:rsidRDefault="00AA6CD0" w:rsidP="00AA6CD0">
      <w:pPr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>1910.213</w:t>
      </w:r>
      <w:r>
        <w:rPr>
          <w:rFonts w:cstheme="minorHAnsi"/>
        </w:rPr>
        <w:tab/>
        <w:t>Woodworking Machinery Requirements</w:t>
      </w:r>
    </w:p>
    <w:p w:rsidR="00AA6CD0" w:rsidRDefault="00AA6CD0" w:rsidP="00AA6CD0">
      <w:pPr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>1910.217</w:t>
      </w:r>
      <w:r>
        <w:rPr>
          <w:rFonts w:cstheme="minorHAnsi"/>
        </w:rPr>
        <w:tab/>
        <w:t>Mechanical Power Presses</w:t>
      </w:r>
    </w:p>
    <w:p w:rsidR="00AA6CD0" w:rsidRDefault="00AA6CD0" w:rsidP="00AA6CD0">
      <w:pPr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>1910.219</w:t>
      </w:r>
      <w:r>
        <w:rPr>
          <w:rFonts w:cstheme="minorHAnsi"/>
        </w:rPr>
        <w:tab/>
        <w:t>Mechanical Power Transmission</w:t>
      </w:r>
    </w:p>
    <w:p w:rsidR="00AA6CD0" w:rsidRDefault="00AA6CD0" w:rsidP="00AA6CD0">
      <w:pPr>
        <w:spacing w:after="0" w:line="240" w:lineRule="auto"/>
        <w:ind w:left="720"/>
        <w:rPr>
          <w:rFonts w:cstheme="minorHAnsi"/>
        </w:rPr>
      </w:pPr>
    </w:p>
    <w:p w:rsidR="00AA6CD0" w:rsidRPr="00791DE3" w:rsidRDefault="00791DE3" w:rsidP="00AA6CD0">
      <w:pPr>
        <w:spacing w:after="0" w:line="240" w:lineRule="auto"/>
        <w:rPr>
          <w:rFonts w:cstheme="minorHAnsi"/>
          <w:b/>
          <w:color w:val="C00000"/>
        </w:rPr>
      </w:pPr>
      <w:r>
        <w:rPr>
          <w:rFonts w:cstheme="minorHAnsi"/>
          <w:b/>
          <w:color w:val="C00000"/>
        </w:rPr>
        <w:t>Inspection Start Date</w:t>
      </w:r>
    </w:p>
    <w:p w:rsidR="00AA6CD0" w:rsidRDefault="00AA6CD0" w:rsidP="00AA6CD0">
      <w:pPr>
        <w:spacing w:after="0" w:line="240" w:lineRule="auto"/>
        <w:rPr>
          <w:rFonts w:cstheme="minorHAnsi"/>
        </w:rPr>
      </w:pPr>
    </w:p>
    <w:p w:rsidR="00AA6CD0" w:rsidRDefault="00AA6CD0" w:rsidP="00AA6CD0">
      <w:pPr>
        <w:spacing w:after="0" w:line="240" w:lineRule="auto"/>
        <w:rPr>
          <w:rFonts w:cstheme="minorHAnsi"/>
        </w:rPr>
      </w:pPr>
      <w:r>
        <w:rPr>
          <w:rFonts w:cstheme="minorHAnsi"/>
        </w:rPr>
        <w:t>As with all new and revised emphasis programs, there will be a 90-day period where OSHA will provide outreach efforts to alert the industry about the changes before starting targeted inspections.  This puts targeted inspections starting around March 10, 2020.</w:t>
      </w:r>
    </w:p>
    <w:p w:rsidR="00791DE3" w:rsidRDefault="00791DE3" w:rsidP="00AA6CD0">
      <w:pPr>
        <w:spacing w:after="0" w:line="240" w:lineRule="auto"/>
        <w:rPr>
          <w:rFonts w:cstheme="minorHAnsi"/>
        </w:rPr>
      </w:pPr>
    </w:p>
    <w:p w:rsidR="00791DE3" w:rsidRPr="00791DE3" w:rsidRDefault="00791DE3" w:rsidP="00AA6CD0">
      <w:pPr>
        <w:spacing w:after="0" w:line="240" w:lineRule="auto"/>
        <w:rPr>
          <w:rFonts w:cstheme="minorHAnsi"/>
          <w:b/>
          <w:color w:val="C00000"/>
        </w:rPr>
      </w:pPr>
      <w:r w:rsidRPr="00791DE3">
        <w:rPr>
          <w:rFonts w:cstheme="minorHAnsi"/>
          <w:b/>
          <w:color w:val="C00000"/>
        </w:rPr>
        <w:t>More Information</w:t>
      </w:r>
    </w:p>
    <w:p w:rsidR="00791DE3" w:rsidRDefault="00791DE3" w:rsidP="00AA6CD0">
      <w:pPr>
        <w:spacing w:after="0" w:line="240" w:lineRule="auto"/>
        <w:rPr>
          <w:rFonts w:cstheme="minorHAnsi"/>
        </w:rPr>
      </w:pPr>
    </w:p>
    <w:p w:rsidR="00791DE3" w:rsidRPr="00AA6CD0" w:rsidRDefault="00791DE3" w:rsidP="00AA6CD0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For more information, check out the </w:t>
      </w:r>
      <w:hyperlink r:id="rId5" w:history="1">
        <w:r w:rsidRPr="00791DE3">
          <w:rPr>
            <w:rStyle w:val="Hyperlink"/>
            <w:rFonts w:cstheme="minorHAnsi"/>
          </w:rPr>
          <w:t>OSHA inspector directive here</w:t>
        </w:r>
      </w:hyperlink>
      <w:r>
        <w:rPr>
          <w:rFonts w:cstheme="minorHAnsi"/>
        </w:rPr>
        <w:t>, which also includes the affected list of NAICS codes.</w:t>
      </w:r>
    </w:p>
    <w:p w:rsidR="00C0208F" w:rsidRDefault="00C0208F"/>
    <w:sectPr w:rsidR="00C02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C68F0"/>
    <w:multiLevelType w:val="hybridMultilevel"/>
    <w:tmpl w:val="16448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B51"/>
    <w:rsid w:val="00023D52"/>
    <w:rsid w:val="00195FDC"/>
    <w:rsid w:val="005E7B51"/>
    <w:rsid w:val="00791DE3"/>
    <w:rsid w:val="00AA6CD0"/>
    <w:rsid w:val="00C02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BE4BE"/>
  <w15:chartTrackingRefBased/>
  <w15:docId w15:val="{25A45B5F-128B-4829-8378-C0171FFF7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C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1D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osha.gov/enforcement/directives/cpl-03-00-02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 Hadley</dc:creator>
  <cp:keywords/>
  <dc:description/>
  <cp:lastModifiedBy>Tami Hadley</cp:lastModifiedBy>
  <cp:revision>1</cp:revision>
  <dcterms:created xsi:type="dcterms:W3CDTF">2020-02-05T21:59:00Z</dcterms:created>
  <dcterms:modified xsi:type="dcterms:W3CDTF">2020-02-06T00:08:00Z</dcterms:modified>
</cp:coreProperties>
</file>