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70" w:rsidRPr="009853CF" w:rsidRDefault="009853CF" w:rsidP="00371C01">
      <w:pPr>
        <w:spacing w:after="0" w:line="240" w:lineRule="auto"/>
        <w:jc w:val="center"/>
        <w:rPr>
          <w:rFonts w:ascii="Cambria" w:hAnsi="Cambria"/>
          <w:b/>
          <w:sz w:val="28"/>
        </w:rPr>
      </w:pPr>
      <w:r w:rsidRPr="009853CF">
        <w:rPr>
          <w:rFonts w:ascii="Cambria" w:hAnsi="Cambria"/>
          <w:b/>
          <w:sz w:val="28"/>
        </w:rPr>
        <w:t xml:space="preserve">Explaining How OSHA </w:t>
      </w:r>
      <w:r w:rsidR="00557B22">
        <w:rPr>
          <w:rFonts w:ascii="Cambria" w:hAnsi="Cambria"/>
          <w:b/>
          <w:sz w:val="28"/>
        </w:rPr>
        <w:t>Fines</w:t>
      </w:r>
      <w:r w:rsidRPr="009853CF">
        <w:rPr>
          <w:rFonts w:ascii="Cambria" w:hAnsi="Cambria"/>
          <w:b/>
          <w:sz w:val="28"/>
        </w:rPr>
        <w:t xml:space="preserve"> are </w:t>
      </w:r>
      <w:proofErr w:type="gramStart"/>
      <w:r w:rsidR="00371C01">
        <w:rPr>
          <w:rFonts w:ascii="Cambria" w:hAnsi="Cambria"/>
          <w:b/>
          <w:sz w:val="28"/>
        </w:rPr>
        <w:t>C</w:t>
      </w:r>
      <w:r w:rsidR="00371C01" w:rsidRPr="009853CF">
        <w:rPr>
          <w:rFonts w:ascii="Cambria" w:hAnsi="Cambria"/>
          <w:b/>
          <w:sz w:val="28"/>
        </w:rPr>
        <w:t>alculated</w:t>
      </w:r>
      <w:proofErr w:type="gramEnd"/>
      <w:r w:rsidRPr="009853CF">
        <w:rPr>
          <w:rFonts w:ascii="Cambria" w:hAnsi="Cambria"/>
          <w:b/>
          <w:sz w:val="28"/>
        </w:rPr>
        <w:t xml:space="preserve">, </w:t>
      </w:r>
      <w:r>
        <w:rPr>
          <w:rFonts w:ascii="Cambria" w:hAnsi="Cambria"/>
          <w:b/>
          <w:sz w:val="28"/>
        </w:rPr>
        <w:t>a</w:t>
      </w:r>
      <w:r w:rsidRPr="009853CF">
        <w:rPr>
          <w:rFonts w:ascii="Cambria" w:hAnsi="Cambria"/>
          <w:b/>
          <w:sz w:val="28"/>
        </w:rPr>
        <w:t>s OSHA Raises Penalty Prices for 2021</w:t>
      </w:r>
    </w:p>
    <w:p w:rsidR="005D2D2E" w:rsidRPr="005D2D2E" w:rsidRDefault="005D2D2E" w:rsidP="00D751E7">
      <w:pPr>
        <w:spacing w:after="0" w:line="240" w:lineRule="auto"/>
        <w:rPr>
          <w:rFonts w:ascii="Cambria" w:hAnsi="Cambria"/>
        </w:rPr>
      </w:pPr>
    </w:p>
    <w:p w:rsidR="00557B22" w:rsidRDefault="005D2D2E" w:rsidP="00CC0D73">
      <w:pPr>
        <w:spacing w:after="0" w:line="240" w:lineRule="auto"/>
        <w:jc w:val="both"/>
        <w:rPr>
          <w:rFonts w:ascii="Cambria" w:hAnsi="Cambria"/>
        </w:rPr>
      </w:pPr>
      <w:r w:rsidRPr="005D2D2E">
        <w:rPr>
          <w:rFonts w:ascii="Cambria" w:hAnsi="Cambria"/>
        </w:rPr>
        <w:t xml:space="preserve">OSHA raised its </w:t>
      </w:r>
      <w:r w:rsidR="00557B22">
        <w:rPr>
          <w:rFonts w:ascii="Cambria" w:hAnsi="Cambria"/>
        </w:rPr>
        <w:t xml:space="preserve">maximum and minimum </w:t>
      </w:r>
      <w:r w:rsidRPr="005D2D2E">
        <w:rPr>
          <w:rFonts w:ascii="Cambria" w:hAnsi="Cambria"/>
        </w:rPr>
        <w:t>penalty dollar amounts</w:t>
      </w:r>
      <w:r w:rsidR="00557B22">
        <w:rPr>
          <w:rFonts w:ascii="Cambria" w:hAnsi="Cambria"/>
        </w:rPr>
        <w:t xml:space="preserve"> with a </w:t>
      </w:r>
      <w:r w:rsidRPr="005D2D2E">
        <w:rPr>
          <w:rFonts w:ascii="Cambria" w:hAnsi="Cambria"/>
        </w:rPr>
        <w:t>cost of living</w:t>
      </w:r>
      <w:r w:rsidR="00557B22">
        <w:rPr>
          <w:rFonts w:ascii="Cambria" w:hAnsi="Cambria"/>
        </w:rPr>
        <w:t xml:space="preserve"> adjustment.  </w:t>
      </w:r>
    </w:p>
    <w:p w:rsidR="00557B22" w:rsidRDefault="00557B22" w:rsidP="00CC0D73">
      <w:pPr>
        <w:spacing w:after="0" w:line="240" w:lineRule="auto"/>
        <w:jc w:val="both"/>
        <w:rPr>
          <w:rFonts w:ascii="Cambria" w:hAnsi="Cambria"/>
        </w:rPr>
      </w:pPr>
    </w:p>
    <w:p w:rsidR="005D2D2E" w:rsidRPr="005D2D2E" w:rsidRDefault="00557B22" w:rsidP="00CC0D73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These new rate</w:t>
      </w:r>
      <w:r w:rsidR="009853CF">
        <w:rPr>
          <w:rFonts w:ascii="Cambria" w:hAnsi="Cambria"/>
        </w:rPr>
        <w:t>s go into effect January 15, 2021</w:t>
      </w:r>
      <w:r>
        <w:rPr>
          <w:rFonts w:ascii="Cambria" w:hAnsi="Cambria"/>
        </w:rPr>
        <w:t>:</w:t>
      </w:r>
    </w:p>
    <w:p w:rsidR="005D2D2E" w:rsidRPr="005D2D2E" w:rsidRDefault="005D2D2E" w:rsidP="00D751E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2250"/>
      </w:tblGrid>
      <w:tr w:rsidR="00371C01" w:rsidRPr="00371C01" w:rsidTr="00A879FE">
        <w:trPr>
          <w:trHeight w:val="386"/>
        </w:trPr>
        <w:tc>
          <w:tcPr>
            <w:tcW w:w="2155" w:type="dxa"/>
            <w:shd w:val="clear" w:color="auto" w:fill="000000" w:themeFill="text1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  <w:b/>
                <w:color w:val="FFFFFF" w:themeColor="background1"/>
              </w:rPr>
            </w:pPr>
            <w:r w:rsidRPr="005A1357">
              <w:rPr>
                <w:rFonts w:ascii="Roboto" w:hAnsi="Roboto"/>
                <w:b/>
                <w:color w:val="FFFFFF" w:themeColor="background1"/>
              </w:rPr>
              <w:t>Violation</w:t>
            </w:r>
          </w:p>
        </w:tc>
        <w:tc>
          <w:tcPr>
            <w:tcW w:w="2340" w:type="dxa"/>
            <w:shd w:val="clear" w:color="auto" w:fill="000000" w:themeFill="text1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  <w:b/>
                <w:color w:val="FFFFFF" w:themeColor="background1"/>
              </w:rPr>
            </w:pPr>
            <w:r w:rsidRPr="005A1357">
              <w:rPr>
                <w:rFonts w:ascii="Roboto" w:hAnsi="Roboto"/>
                <w:b/>
                <w:color w:val="FFFFFF" w:themeColor="background1"/>
              </w:rPr>
              <w:t>Minimum $ Penalty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  <w:b/>
                <w:color w:val="FFFFFF" w:themeColor="background1"/>
              </w:rPr>
            </w:pPr>
            <w:r w:rsidRPr="005A1357">
              <w:rPr>
                <w:rFonts w:ascii="Roboto" w:hAnsi="Roboto"/>
                <w:b/>
                <w:color w:val="FFFFFF" w:themeColor="background1"/>
              </w:rPr>
              <w:t>Maximum $ Penalty</w:t>
            </w:r>
          </w:p>
        </w:tc>
      </w:tr>
      <w:tr w:rsidR="005D2D2E" w:rsidRPr="005D2D2E" w:rsidTr="00A879FE">
        <w:tc>
          <w:tcPr>
            <w:tcW w:w="2155" w:type="dxa"/>
            <w:vAlign w:val="center"/>
          </w:tcPr>
          <w:p w:rsidR="005D2D2E" w:rsidRPr="005A1357" w:rsidRDefault="005D2D2E" w:rsidP="00A879FE">
            <w:pPr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Serious</w:t>
            </w:r>
          </w:p>
        </w:tc>
        <w:tc>
          <w:tcPr>
            <w:tcW w:w="234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$964/violation</w:t>
            </w:r>
          </w:p>
        </w:tc>
        <w:tc>
          <w:tcPr>
            <w:tcW w:w="2250" w:type="dxa"/>
            <w:vMerge w:val="restart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$13,653/violation</w:t>
            </w:r>
          </w:p>
        </w:tc>
        <w:bookmarkStart w:id="0" w:name="_GoBack"/>
        <w:bookmarkEnd w:id="0"/>
      </w:tr>
      <w:tr w:rsidR="005D2D2E" w:rsidRPr="005D2D2E" w:rsidTr="00A879FE">
        <w:tc>
          <w:tcPr>
            <w:tcW w:w="2155" w:type="dxa"/>
            <w:vAlign w:val="center"/>
          </w:tcPr>
          <w:p w:rsidR="005D2D2E" w:rsidRPr="005A1357" w:rsidRDefault="005D2D2E" w:rsidP="00A879FE">
            <w:pPr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Other-Than-Serious</w:t>
            </w:r>
          </w:p>
        </w:tc>
        <w:tc>
          <w:tcPr>
            <w:tcW w:w="234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$0/violation</w:t>
            </w:r>
          </w:p>
        </w:tc>
        <w:tc>
          <w:tcPr>
            <w:tcW w:w="2250" w:type="dxa"/>
            <w:vMerge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</w:p>
        </w:tc>
      </w:tr>
      <w:tr w:rsidR="005D2D2E" w:rsidRPr="005D2D2E" w:rsidTr="00A879FE">
        <w:tc>
          <w:tcPr>
            <w:tcW w:w="2155" w:type="dxa"/>
            <w:vAlign w:val="center"/>
          </w:tcPr>
          <w:p w:rsidR="005D2D2E" w:rsidRPr="005A1357" w:rsidRDefault="005D2D2E" w:rsidP="00A879FE">
            <w:pPr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Willful or Repeated</w:t>
            </w:r>
          </w:p>
        </w:tc>
        <w:tc>
          <w:tcPr>
            <w:tcW w:w="234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$9,639/violation</w:t>
            </w:r>
          </w:p>
        </w:tc>
        <w:tc>
          <w:tcPr>
            <w:tcW w:w="2250" w:type="dxa"/>
            <w:vMerge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</w:p>
        </w:tc>
      </w:tr>
      <w:tr w:rsidR="005D2D2E" w:rsidRPr="005D2D2E" w:rsidTr="00A879FE">
        <w:tc>
          <w:tcPr>
            <w:tcW w:w="2155" w:type="dxa"/>
            <w:vAlign w:val="center"/>
          </w:tcPr>
          <w:p w:rsidR="005D2D2E" w:rsidRPr="005A1357" w:rsidRDefault="005D2D2E" w:rsidP="00A879FE">
            <w:pPr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Posting Requirements</w:t>
            </w:r>
          </w:p>
        </w:tc>
        <w:tc>
          <w:tcPr>
            <w:tcW w:w="234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$0/violation</w:t>
            </w:r>
          </w:p>
        </w:tc>
        <w:tc>
          <w:tcPr>
            <w:tcW w:w="2250" w:type="dxa"/>
            <w:vMerge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</w:p>
        </w:tc>
      </w:tr>
      <w:tr w:rsidR="005D2D2E" w:rsidRPr="005D2D2E" w:rsidTr="00A879FE">
        <w:tc>
          <w:tcPr>
            <w:tcW w:w="2155" w:type="dxa"/>
            <w:vAlign w:val="center"/>
          </w:tcPr>
          <w:p w:rsidR="005D2D2E" w:rsidRPr="005A1357" w:rsidRDefault="005D2D2E" w:rsidP="00A879FE">
            <w:pPr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Failure to Abate</w:t>
            </w:r>
          </w:p>
        </w:tc>
        <w:tc>
          <w:tcPr>
            <w:tcW w:w="234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N/A</w:t>
            </w:r>
          </w:p>
        </w:tc>
        <w:tc>
          <w:tcPr>
            <w:tcW w:w="2250" w:type="dxa"/>
            <w:vAlign w:val="center"/>
          </w:tcPr>
          <w:p w:rsidR="005D2D2E" w:rsidRPr="005A1357" w:rsidRDefault="005D2D2E" w:rsidP="00A879FE">
            <w:pPr>
              <w:jc w:val="center"/>
              <w:rPr>
                <w:rFonts w:ascii="Roboto" w:hAnsi="Roboto"/>
              </w:rPr>
            </w:pPr>
            <w:r w:rsidRPr="005A1357">
              <w:rPr>
                <w:rFonts w:ascii="Roboto" w:hAnsi="Roboto"/>
              </w:rPr>
              <w:t>$13,653/day unabated beyond the abatement date (~30 days maximum)</w:t>
            </w:r>
          </w:p>
        </w:tc>
      </w:tr>
    </w:tbl>
    <w:p w:rsidR="00A879FE" w:rsidRDefault="00E94597" w:rsidP="005A1357">
      <w:pPr>
        <w:spacing w:after="0" w:line="240" w:lineRule="auto"/>
        <w:rPr>
          <w:rFonts w:ascii="Cambria" w:hAnsi="Cambria"/>
          <w:i/>
          <w:spacing w:val="-6"/>
          <w:sz w:val="20"/>
        </w:rPr>
      </w:pPr>
      <w:r w:rsidRPr="005A1357">
        <w:rPr>
          <w:rFonts w:ascii="Cambria" w:hAnsi="Cambria"/>
          <w:i/>
          <w:spacing w:val="-6"/>
          <w:sz w:val="20"/>
        </w:rPr>
        <w:t xml:space="preserve">Note:  These are the federal limits.  State programs are required adopt maximum levels </w:t>
      </w:r>
    </w:p>
    <w:p w:rsidR="00E94597" w:rsidRPr="005A1357" w:rsidRDefault="00E94597" w:rsidP="005A1357">
      <w:pPr>
        <w:spacing w:after="0" w:line="240" w:lineRule="auto"/>
        <w:rPr>
          <w:rFonts w:ascii="Cambria" w:hAnsi="Cambria"/>
          <w:spacing w:val="-6"/>
        </w:rPr>
      </w:pPr>
      <w:proofErr w:type="gramStart"/>
      <w:r w:rsidRPr="005A1357">
        <w:rPr>
          <w:rFonts w:ascii="Cambria" w:hAnsi="Cambria"/>
          <w:i/>
          <w:spacing w:val="-6"/>
          <w:sz w:val="20"/>
        </w:rPr>
        <w:t>that</w:t>
      </w:r>
      <w:proofErr w:type="gramEnd"/>
      <w:r w:rsidRPr="005A1357">
        <w:rPr>
          <w:rFonts w:ascii="Cambria" w:hAnsi="Cambria"/>
          <w:i/>
          <w:spacing w:val="-6"/>
          <w:sz w:val="20"/>
        </w:rPr>
        <w:t xml:space="preserve"> are at least as effective as Federal OSHA</w:t>
      </w:r>
      <w:r w:rsidRPr="005A1357">
        <w:rPr>
          <w:rFonts w:ascii="Cambria" w:hAnsi="Cambria"/>
          <w:spacing w:val="-6"/>
        </w:rPr>
        <w:t>.</w:t>
      </w:r>
    </w:p>
    <w:p w:rsidR="00E94597" w:rsidRDefault="00E94597" w:rsidP="00D751E7">
      <w:pPr>
        <w:spacing w:after="0" w:line="240" w:lineRule="auto"/>
        <w:rPr>
          <w:rFonts w:ascii="Cambria" w:hAnsi="Cambria"/>
        </w:rPr>
      </w:pPr>
    </w:p>
    <w:p w:rsidR="00557B22" w:rsidRDefault="00557B22" w:rsidP="00D751E7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There are maximum and minimum amounts, but most fall somewhere in between.  How are OSHA fines calculated?</w:t>
      </w:r>
    </w:p>
    <w:p w:rsidR="00557B22" w:rsidRDefault="00557B22" w:rsidP="00D751E7">
      <w:pPr>
        <w:spacing w:after="0" w:line="240" w:lineRule="auto"/>
        <w:rPr>
          <w:rFonts w:ascii="Cambria" w:hAnsi="Cambria"/>
        </w:rPr>
      </w:pPr>
    </w:p>
    <w:p w:rsidR="00227CE0" w:rsidRPr="00B06163" w:rsidRDefault="00557B22" w:rsidP="00D751E7">
      <w:pPr>
        <w:spacing w:after="0" w:line="240" w:lineRule="auto"/>
        <w:rPr>
          <w:rFonts w:ascii="Cambria" w:hAnsi="Cambria"/>
          <w:b/>
          <w:color w:val="C00000"/>
          <w:sz w:val="24"/>
        </w:rPr>
      </w:pPr>
      <w:r>
        <w:rPr>
          <w:rFonts w:ascii="Cambria" w:hAnsi="Cambria"/>
          <w:b/>
          <w:color w:val="C00000"/>
          <w:sz w:val="24"/>
        </w:rPr>
        <w:t xml:space="preserve">The </w:t>
      </w:r>
      <w:r w:rsidR="00227CE0" w:rsidRPr="00B06163">
        <w:rPr>
          <w:rFonts w:ascii="Cambria" w:hAnsi="Cambria"/>
          <w:b/>
          <w:color w:val="C00000"/>
          <w:sz w:val="24"/>
        </w:rPr>
        <w:t>Violation Categories</w:t>
      </w:r>
    </w:p>
    <w:p w:rsidR="00227CE0" w:rsidRDefault="00227CE0" w:rsidP="00D751E7">
      <w:pPr>
        <w:spacing w:after="0" w:line="240" w:lineRule="auto"/>
        <w:rPr>
          <w:rFonts w:ascii="Cambria" w:hAnsi="Cambria"/>
        </w:rPr>
      </w:pP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  <w:r w:rsidRPr="00CC0D73">
        <w:rPr>
          <w:rFonts w:ascii="Cambria" w:hAnsi="Cambria"/>
          <w:b/>
        </w:rPr>
        <w:t>Serious</w:t>
      </w:r>
      <w:r>
        <w:rPr>
          <w:rFonts w:ascii="Cambria" w:hAnsi="Cambria"/>
        </w:rPr>
        <w:t xml:space="preserve"> violations are </w:t>
      </w:r>
      <w:r w:rsidR="00557B22">
        <w:rPr>
          <w:rFonts w:ascii="Cambria" w:hAnsi="Cambria"/>
        </w:rPr>
        <w:t>considered</w:t>
      </w:r>
      <w:r>
        <w:rPr>
          <w:rFonts w:ascii="Cambria" w:hAnsi="Cambria"/>
        </w:rPr>
        <w:t xml:space="preserve"> </w:t>
      </w:r>
      <w:r w:rsidR="00557B22">
        <w:rPr>
          <w:rFonts w:ascii="Cambria" w:hAnsi="Cambria"/>
        </w:rPr>
        <w:t xml:space="preserve">high, medium or low severity.  </w:t>
      </w:r>
      <w:r w:rsidRPr="00557B22">
        <w:rPr>
          <w:rFonts w:ascii="Cambria" w:hAnsi="Cambria"/>
          <w:b/>
        </w:rPr>
        <w:t>Other-Than-Serious</w:t>
      </w:r>
      <w:r>
        <w:rPr>
          <w:rFonts w:ascii="Cambria" w:hAnsi="Cambria"/>
        </w:rPr>
        <w:t xml:space="preserve"> violations are minimal severity.    </w:t>
      </w: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  <w:r w:rsidRPr="00CC0D73">
        <w:rPr>
          <w:rFonts w:ascii="Cambria" w:hAnsi="Cambria"/>
          <w:b/>
        </w:rPr>
        <w:t>Willful</w:t>
      </w:r>
      <w:r>
        <w:rPr>
          <w:rFonts w:ascii="Cambria" w:hAnsi="Cambria"/>
        </w:rPr>
        <w:t xml:space="preserve"> violations are </w:t>
      </w:r>
      <w:r w:rsidR="00CC0D73">
        <w:rPr>
          <w:rFonts w:ascii="Cambria" w:hAnsi="Cambria"/>
        </w:rPr>
        <w:t xml:space="preserve">cited </w:t>
      </w:r>
      <w:r>
        <w:rPr>
          <w:rFonts w:ascii="Cambria" w:hAnsi="Cambria"/>
        </w:rPr>
        <w:t>when employers knowingly fail</w:t>
      </w:r>
      <w:r w:rsidR="00557B2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 comply or </w:t>
      </w:r>
      <w:r w:rsidR="00557B22">
        <w:rPr>
          <w:rFonts w:ascii="Cambria" w:hAnsi="Cambria"/>
        </w:rPr>
        <w:t xml:space="preserve">when they </w:t>
      </w:r>
      <w:r>
        <w:rPr>
          <w:rFonts w:ascii="Cambria" w:hAnsi="Cambria"/>
        </w:rPr>
        <w:t xml:space="preserve">act with indifference to employee safety. </w:t>
      </w: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  <w:r w:rsidRPr="00CC0D73">
        <w:rPr>
          <w:rFonts w:ascii="Cambria" w:hAnsi="Cambria"/>
          <w:b/>
        </w:rPr>
        <w:t xml:space="preserve">Repeated </w:t>
      </w:r>
      <w:r w:rsidR="00557B22">
        <w:rPr>
          <w:rFonts w:ascii="Cambria" w:hAnsi="Cambria"/>
        </w:rPr>
        <w:t xml:space="preserve">violations occur when an employer </w:t>
      </w:r>
      <w:r>
        <w:rPr>
          <w:rFonts w:ascii="Cambria" w:hAnsi="Cambria"/>
        </w:rPr>
        <w:t xml:space="preserve">has been previously </w:t>
      </w:r>
      <w:r w:rsidR="00CC0D73">
        <w:rPr>
          <w:rFonts w:ascii="Cambria" w:hAnsi="Cambria"/>
        </w:rPr>
        <w:t xml:space="preserve">cited </w:t>
      </w:r>
      <w:r>
        <w:rPr>
          <w:rFonts w:ascii="Cambria" w:hAnsi="Cambria"/>
        </w:rPr>
        <w:t>for the same or substantially similar condition.  For serious violations</w:t>
      </w:r>
      <w:r w:rsidR="00CC0D73">
        <w:rPr>
          <w:rFonts w:ascii="Cambria" w:hAnsi="Cambria"/>
        </w:rPr>
        <w:t>,</w:t>
      </w:r>
      <w:r>
        <w:rPr>
          <w:rFonts w:ascii="Cambria" w:hAnsi="Cambria"/>
        </w:rPr>
        <w:t xml:space="preserve"> these are ones that have been a part of OSHA’s </w:t>
      </w:r>
      <w:proofErr w:type="spellStart"/>
      <w:r>
        <w:rPr>
          <w:rFonts w:ascii="Cambria" w:hAnsi="Cambria"/>
        </w:rPr>
        <w:t>regionwide</w:t>
      </w:r>
      <w:proofErr w:type="spellEnd"/>
      <w:r>
        <w:rPr>
          <w:rFonts w:ascii="Cambria" w:hAnsi="Cambria"/>
        </w:rPr>
        <w:t xml:space="preserve"> inspection history where an OSHA Notice was issued within the past 5 years</w:t>
      </w:r>
      <w:r w:rsidR="00CC0D73">
        <w:rPr>
          <w:rFonts w:ascii="Cambria" w:hAnsi="Cambria"/>
        </w:rPr>
        <w:t xml:space="preserve">.  For </w:t>
      </w:r>
      <w:r>
        <w:rPr>
          <w:rFonts w:ascii="Cambria" w:hAnsi="Cambria"/>
        </w:rPr>
        <w:t>other-than-serious violations, it’s for those where the establishment being inspected received an OSHA Notice within the past 5 years.</w:t>
      </w: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</w:p>
    <w:p w:rsidR="00227CE0" w:rsidRDefault="00CC0D73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Pr="00CC0D73">
        <w:rPr>
          <w:rFonts w:ascii="Cambria" w:hAnsi="Cambria"/>
          <w:b/>
        </w:rPr>
        <w:t>Posting Requirements</w:t>
      </w:r>
      <w:r>
        <w:rPr>
          <w:rFonts w:ascii="Cambria" w:hAnsi="Cambria"/>
        </w:rPr>
        <w:t xml:space="preserve"> violation is issued when you fail to</w:t>
      </w:r>
      <w:r w:rsidR="00557B22">
        <w:rPr>
          <w:rFonts w:ascii="Cambria" w:hAnsi="Cambria"/>
        </w:rPr>
        <w:t xml:space="preserve"> follow through on your requirement to</w:t>
      </w:r>
      <w:r>
        <w:rPr>
          <w:rFonts w:ascii="Cambria" w:hAnsi="Cambria"/>
        </w:rPr>
        <w:t xml:space="preserve"> post your </w:t>
      </w:r>
      <w:r w:rsidR="00227CE0">
        <w:rPr>
          <w:rFonts w:ascii="Cambria" w:hAnsi="Cambria"/>
        </w:rPr>
        <w:t xml:space="preserve">OSHA Notice at or near the place where each violation occurred for 3 working days, or until the hazard is abated (whichever is longer).  </w:t>
      </w:r>
    </w:p>
    <w:p w:rsidR="00CC0D73" w:rsidRDefault="00CC0D73" w:rsidP="00227CE0">
      <w:pPr>
        <w:spacing w:after="0" w:line="240" w:lineRule="auto"/>
        <w:jc w:val="both"/>
        <w:rPr>
          <w:rFonts w:ascii="Cambria" w:hAnsi="Cambria"/>
        </w:rPr>
      </w:pPr>
    </w:p>
    <w:p w:rsidR="00227CE0" w:rsidRDefault="00227CE0" w:rsidP="00227CE0">
      <w:pPr>
        <w:spacing w:after="0" w:line="240" w:lineRule="auto"/>
        <w:jc w:val="both"/>
        <w:rPr>
          <w:rFonts w:ascii="Cambria" w:hAnsi="Cambria"/>
        </w:rPr>
      </w:pPr>
      <w:r w:rsidRPr="00CC0D73">
        <w:rPr>
          <w:rFonts w:ascii="Cambria" w:hAnsi="Cambria"/>
          <w:b/>
        </w:rPr>
        <w:t>Failure to Abate</w:t>
      </w:r>
      <w:r>
        <w:rPr>
          <w:rFonts w:ascii="Cambria" w:hAnsi="Cambria"/>
        </w:rPr>
        <w:t xml:space="preserve"> violations occur when you receive a Notice of Unsafe or Unhealthful Working Conditions and a follow</w:t>
      </w:r>
      <w:r w:rsidR="00B06163">
        <w:rPr>
          <w:rFonts w:ascii="Cambria" w:hAnsi="Cambria"/>
        </w:rPr>
        <w:t>-</w:t>
      </w:r>
      <w:r>
        <w:rPr>
          <w:rFonts w:ascii="Cambria" w:hAnsi="Cambria"/>
        </w:rPr>
        <w:t>up inspection finds that you did not do your required posting, did not correct the violation and/or did not adequately protect employees and make appropriate progress in correcting the hazard</w:t>
      </w:r>
      <w:r w:rsidR="00B06163">
        <w:rPr>
          <w:rFonts w:ascii="Cambria" w:hAnsi="Cambria"/>
        </w:rPr>
        <w:t xml:space="preserve"> before the abatement date</w:t>
      </w:r>
      <w:r w:rsidR="00CC0D73">
        <w:rPr>
          <w:rFonts w:ascii="Cambria" w:hAnsi="Cambria"/>
        </w:rPr>
        <w:t xml:space="preserve"> </w:t>
      </w:r>
      <w:r w:rsidR="00557B22">
        <w:rPr>
          <w:rFonts w:ascii="Cambria" w:hAnsi="Cambria"/>
        </w:rPr>
        <w:t xml:space="preserve">that was listed </w:t>
      </w:r>
      <w:r w:rsidR="00CC0D73">
        <w:rPr>
          <w:rFonts w:ascii="Cambria" w:hAnsi="Cambria"/>
        </w:rPr>
        <w:t xml:space="preserve">on </w:t>
      </w:r>
      <w:r w:rsidR="00557B22">
        <w:rPr>
          <w:rFonts w:ascii="Cambria" w:hAnsi="Cambria"/>
        </w:rPr>
        <w:t xml:space="preserve">your </w:t>
      </w:r>
      <w:r w:rsidR="00CC0D73">
        <w:rPr>
          <w:rFonts w:ascii="Cambria" w:hAnsi="Cambria"/>
        </w:rPr>
        <w:t>notice</w:t>
      </w:r>
      <w:r>
        <w:rPr>
          <w:rFonts w:ascii="Cambria" w:hAnsi="Cambria"/>
        </w:rPr>
        <w:t xml:space="preserve">.  </w:t>
      </w: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B06163" w:rsidRPr="009853CF" w:rsidRDefault="00B06163" w:rsidP="00227CE0">
      <w:pPr>
        <w:spacing w:after="0" w:line="240" w:lineRule="auto"/>
        <w:jc w:val="both"/>
        <w:rPr>
          <w:rFonts w:ascii="Cambria" w:hAnsi="Cambria"/>
          <w:b/>
          <w:color w:val="C00000"/>
        </w:rPr>
      </w:pPr>
      <w:r w:rsidRPr="009853CF">
        <w:rPr>
          <w:rFonts w:ascii="Cambria" w:hAnsi="Cambria"/>
          <w:b/>
          <w:color w:val="C00000"/>
        </w:rPr>
        <w:t xml:space="preserve">Calculating Violation Amounts </w:t>
      </w: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There are a number of factors that actually can determine how much your penalty will be.  There are f</w:t>
      </w:r>
      <w:r w:rsidR="00E24AEF">
        <w:rPr>
          <w:rFonts w:ascii="Cambria" w:hAnsi="Cambria"/>
        </w:rPr>
        <w:t>our</w:t>
      </w:r>
      <w:r w:rsidR="003E7997">
        <w:rPr>
          <w:rFonts w:ascii="Cambria" w:hAnsi="Cambria"/>
        </w:rPr>
        <w:t xml:space="preserve"> </w:t>
      </w:r>
      <w:r>
        <w:rPr>
          <w:rFonts w:ascii="Cambria" w:hAnsi="Cambria"/>
        </w:rPr>
        <w:t>major categories of factors that go into the calculation:</w:t>
      </w: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B06163" w:rsidRPr="00E56987" w:rsidRDefault="00B06163" w:rsidP="00E569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E56987">
        <w:rPr>
          <w:rFonts w:ascii="Cambria" w:hAnsi="Cambria"/>
        </w:rPr>
        <w:t>Gravity of violation</w:t>
      </w:r>
    </w:p>
    <w:p w:rsidR="00A63FB5" w:rsidRPr="00E56987" w:rsidRDefault="00A63FB5" w:rsidP="00A63F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E56987">
        <w:rPr>
          <w:rFonts w:ascii="Cambria" w:hAnsi="Cambria"/>
        </w:rPr>
        <w:t>History of violations</w:t>
      </w:r>
    </w:p>
    <w:p w:rsidR="00A63FB5" w:rsidRPr="00E56987" w:rsidRDefault="00A63FB5" w:rsidP="00A63F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E56987">
        <w:rPr>
          <w:rFonts w:ascii="Cambria" w:hAnsi="Cambria"/>
        </w:rPr>
        <w:t>Good faith efforts of the employer</w:t>
      </w:r>
    </w:p>
    <w:p w:rsidR="00B06163" w:rsidRDefault="00B06163" w:rsidP="00E5698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</w:rPr>
      </w:pPr>
      <w:r w:rsidRPr="00E56987">
        <w:rPr>
          <w:rFonts w:ascii="Cambria" w:hAnsi="Cambria"/>
        </w:rPr>
        <w:t>Business size</w:t>
      </w:r>
    </w:p>
    <w:p w:rsidR="00E56987" w:rsidRDefault="00E56987" w:rsidP="00227CE0">
      <w:pPr>
        <w:spacing w:after="0" w:line="240" w:lineRule="auto"/>
        <w:jc w:val="both"/>
        <w:rPr>
          <w:rFonts w:ascii="Cambria" w:hAnsi="Cambria"/>
        </w:rPr>
      </w:pPr>
    </w:p>
    <w:p w:rsidR="00E56987" w:rsidRPr="009853CF" w:rsidRDefault="00E56987" w:rsidP="00227CE0">
      <w:pPr>
        <w:spacing w:after="0" w:line="240" w:lineRule="auto"/>
        <w:jc w:val="both"/>
        <w:rPr>
          <w:rFonts w:ascii="Cambria" w:hAnsi="Cambria"/>
          <w:b/>
          <w:i/>
          <w:color w:val="2F5496" w:themeColor="accent5" w:themeShade="BF"/>
        </w:rPr>
      </w:pPr>
      <w:r w:rsidRPr="009853CF">
        <w:rPr>
          <w:rFonts w:ascii="Cambria" w:hAnsi="Cambria"/>
          <w:b/>
          <w:i/>
          <w:color w:val="2F5496" w:themeColor="accent5" w:themeShade="BF"/>
        </w:rPr>
        <w:t>Gravity Based Penalty Amounts</w:t>
      </w:r>
    </w:p>
    <w:p w:rsidR="00E56987" w:rsidRDefault="00E56987" w:rsidP="00227CE0">
      <w:pPr>
        <w:spacing w:after="0" w:line="240" w:lineRule="auto"/>
        <w:jc w:val="both"/>
        <w:rPr>
          <w:rFonts w:ascii="Cambria" w:hAnsi="Cambria"/>
        </w:rPr>
      </w:pPr>
    </w:p>
    <w:p w:rsidR="00B06163" w:rsidRDefault="00CC0D73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First, the g</w:t>
      </w:r>
      <w:r w:rsidR="00B06163">
        <w:rPr>
          <w:rFonts w:ascii="Cambria" w:hAnsi="Cambria"/>
        </w:rPr>
        <w:t xml:space="preserve">ravity of the </w:t>
      </w:r>
      <w:r w:rsidR="00E56987">
        <w:rPr>
          <w:rFonts w:ascii="Cambria" w:hAnsi="Cambria"/>
        </w:rPr>
        <w:t>vi</w:t>
      </w:r>
      <w:r w:rsidR="00B06163">
        <w:rPr>
          <w:rFonts w:ascii="Cambria" w:hAnsi="Cambria"/>
        </w:rPr>
        <w:t>olation</w:t>
      </w:r>
      <w:r w:rsidR="00E56987">
        <w:rPr>
          <w:rFonts w:ascii="Cambria" w:hAnsi="Cambria"/>
        </w:rPr>
        <w:t xml:space="preserve"> is </w:t>
      </w:r>
      <w:r w:rsidR="00B06163">
        <w:rPr>
          <w:rFonts w:ascii="Cambria" w:hAnsi="Cambria"/>
        </w:rPr>
        <w:t>calculated</w:t>
      </w:r>
      <w:r w:rsidR="00736409">
        <w:rPr>
          <w:rFonts w:ascii="Cambria" w:hAnsi="Cambria"/>
        </w:rPr>
        <w:t xml:space="preserve">.  The </w:t>
      </w:r>
      <w:r w:rsidR="00B06163">
        <w:rPr>
          <w:rFonts w:ascii="Cambria" w:hAnsi="Cambria"/>
        </w:rPr>
        <w:t xml:space="preserve">Gravity Based </w:t>
      </w:r>
      <w:r w:rsidR="00E56987">
        <w:rPr>
          <w:rFonts w:ascii="Cambria" w:hAnsi="Cambria"/>
        </w:rPr>
        <w:t>Penalty</w:t>
      </w:r>
      <w:r w:rsidR="00736409">
        <w:rPr>
          <w:rFonts w:ascii="Cambria" w:hAnsi="Cambria"/>
        </w:rPr>
        <w:t xml:space="preserve"> (GBP)</w:t>
      </w:r>
      <w:r w:rsidR="00E56987">
        <w:rPr>
          <w:rFonts w:ascii="Cambria" w:hAnsi="Cambria"/>
        </w:rPr>
        <w:t xml:space="preserve"> Amount</w:t>
      </w:r>
      <w:r w:rsidR="00557B22">
        <w:rPr>
          <w:rFonts w:ascii="Cambria" w:hAnsi="Cambria"/>
        </w:rPr>
        <w:t xml:space="preserve"> looks at the </w:t>
      </w:r>
      <w:r w:rsidR="00E56987">
        <w:rPr>
          <w:rFonts w:ascii="Cambria" w:hAnsi="Cambria"/>
        </w:rPr>
        <w:t>level of severity (low, medium and high) and</w:t>
      </w:r>
      <w:r w:rsidR="00557B22">
        <w:rPr>
          <w:rFonts w:ascii="Cambria" w:hAnsi="Cambria"/>
        </w:rPr>
        <w:t xml:space="preserve"> the</w:t>
      </w:r>
      <w:r w:rsidR="00E56987">
        <w:rPr>
          <w:rFonts w:ascii="Cambria" w:hAnsi="Cambria"/>
        </w:rPr>
        <w:t xml:space="preserve"> probability, that is likelihood an injury or illness will occur (greater or lesser).</w:t>
      </w:r>
      <w:r w:rsidR="00B06163">
        <w:rPr>
          <w:rFonts w:ascii="Cambria" w:hAnsi="Cambria"/>
        </w:rPr>
        <w:t xml:space="preserve"> </w:t>
      </w: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B06163" w:rsidRPr="00E56987" w:rsidRDefault="00B06163" w:rsidP="00E56987">
      <w:pPr>
        <w:spacing w:after="0" w:line="240" w:lineRule="auto"/>
        <w:jc w:val="center"/>
        <w:rPr>
          <w:rFonts w:ascii="Cambria" w:hAnsi="Cambria"/>
          <w:b/>
        </w:rPr>
      </w:pPr>
      <w:r w:rsidRPr="00E56987">
        <w:rPr>
          <w:rFonts w:ascii="Cambria" w:hAnsi="Cambria"/>
          <w:b/>
        </w:rPr>
        <w:t>Severity + Probability = Gravity Based Penalty Amount</w:t>
      </w:r>
    </w:p>
    <w:p w:rsidR="00E56987" w:rsidRDefault="00E56987" w:rsidP="00227CE0">
      <w:pPr>
        <w:spacing w:after="0" w:line="240" w:lineRule="auto"/>
        <w:jc w:val="both"/>
        <w:rPr>
          <w:rFonts w:ascii="Cambria" w:hAnsi="Cambria"/>
        </w:rPr>
      </w:pPr>
    </w:p>
    <w:p w:rsidR="00E56987" w:rsidRDefault="00E56987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Here are the Gravity Based Penalty Amounts for 2021:</w:t>
      </w:r>
    </w:p>
    <w:p w:rsidR="00B06163" w:rsidRDefault="00B06163" w:rsidP="00E56987">
      <w:pPr>
        <w:spacing w:after="0" w:line="240" w:lineRule="auto"/>
        <w:jc w:val="both"/>
        <w:rPr>
          <w:rFonts w:ascii="Cambria" w:hAnsi="Cambria"/>
        </w:rPr>
      </w:pPr>
    </w:p>
    <w:tbl>
      <w:tblPr>
        <w:tblW w:w="6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545"/>
        <w:gridCol w:w="1965"/>
        <w:gridCol w:w="1710"/>
      </w:tblGrid>
      <w:tr w:rsidR="009853CF" w:rsidRPr="009853CF" w:rsidTr="0026029B">
        <w:trPr>
          <w:trHeight w:val="400"/>
          <w:tblHeader/>
        </w:trPr>
        <w:tc>
          <w:tcPr>
            <w:tcW w:w="1345" w:type="dxa"/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987" w:rsidRPr="0026029B" w:rsidRDefault="00E56987" w:rsidP="00E9459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  <w:t>Severity</w:t>
            </w:r>
          </w:p>
        </w:tc>
        <w:tc>
          <w:tcPr>
            <w:tcW w:w="1545" w:type="dxa"/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987" w:rsidRPr="0026029B" w:rsidRDefault="00E56987" w:rsidP="00E9459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  <w:t>Probability</w:t>
            </w:r>
          </w:p>
        </w:tc>
        <w:tc>
          <w:tcPr>
            <w:tcW w:w="1965" w:type="dxa"/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987" w:rsidRPr="0026029B" w:rsidRDefault="00E56987" w:rsidP="00E9459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  <w:t>GBP</w:t>
            </w:r>
          </w:p>
        </w:tc>
        <w:tc>
          <w:tcPr>
            <w:tcW w:w="1710" w:type="dxa"/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56987" w:rsidRPr="0026029B" w:rsidRDefault="00E56987" w:rsidP="00E9459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bCs/>
                <w:color w:val="FFFFFF" w:themeColor="background1"/>
                <w:sz w:val="24"/>
                <w:szCs w:val="21"/>
              </w:rPr>
              <w:t>Gravity</w:t>
            </w:r>
          </w:p>
        </w:tc>
      </w:tr>
      <w:tr w:rsidR="00E56987" w:rsidRPr="00E56987" w:rsidTr="0026029B">
        <w:trPr>
          <w:trHeight w:val="261"/>
        </w:trPr>
        <w:tc>
          <w:tcPr>
            <w:tcW w:w="6565" w:type="dxa"/>
            <w:gridSpan w:val="4"/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56987" w:rsidRPr="0026029B" w:rsidRDefault="00E56987" w:rsidP="00E56987">
            <w:pPr>
              <w:spacing w:after="0" w:line="240" w:lineRule="auto"/>
              <w:rPr>
                <w:rFonts w:ascii="Roboto" w:eastAsia="Times New Roman" w:hAnsi="Roboto" w:cs="Helvetica"/>
                <w:b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color w:val="333333"/>
                <w:sz w:val="24"/>
                <w:szCs w:val="21"/>
              </w:rPr>
              <w:t>Serious Violations</w:t>
            </w:r>
          </w:p>
        </w:tc>
      </w:tr>
      <w:tr w:rsidR="00E56987" w:rsidRPr="00E56987" w:rsidTr="0026029B">
        <w:trPr>
          <w:trHeight w:val="261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High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Greater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$13,653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High</w:t>
            </w:r>
          </w:p>
        </w:tc>
      </w:tr>
      <w:tr w:rsidR="00E56987" w:rsidRPr="00E56987" w:rsidTr="0026029B">
        <w:trPr>
          <w:trHeight w:val="288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Medium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Greater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$11,703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Moderate</w:t>
            </w:r>
          </w:p>
        </w:tc>
      </w:tr>
      <w:tr w:rsidR="00E56987" w:rsidRPr="00E56987" w:rsidTr="0026029B">
        <w:trPr>
          <w:trHeight w:val="288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Low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Greater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$9,753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Moderate</w:t>
            </w:r>
          </w:p>
        </w:tc>
      </w:tr>
      <w:tr w:rsidR="00E56987" w:rsidRPr="00E56987" w:rsidTr="0026029B">
        <w:trPr>
          <w:trHeight w:val="288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High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Lesser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$9,753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Moderate</w:t>
            </w:r>
          </w:p>
        </w:tc>
      </w:tr>
      <w:tr w:rsidR="00E56987" w:rsidRPr="00E56987" w:rsidTr="0026029B">
        <w:trPr>
          <w:trHeight w:val="288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Medium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Lesser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$7,802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Moderate</w:t>
            </w:r>
          </w:p>
        </w:tc>
      </w:tr>
      <w:tr w:rsidR="00E56987" w:rsidRPr="00E56987" w:rsidTr="0026029B">
        <w:trPr>
          <w:trHeight w:val="252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Low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Lesser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$5,851</w:t>
            </w:r>
          </w:p>
        </w:tc>
        <w:tc>
          <w:tcPr>
            <w:tcW w:w="171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56987" w:rsidRPr="0026029B" w:rsidRDefault="00E5698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Low</w:t>
            </w:r>
          </w:p>
        </w:tc>
      </w:tr>
      <w:tr w:rsidR="00E56987" w:rsidRPr="00E56987" w:rsidTr="0026029B">
        <w:trPr>
          <w:trHeight w:val="252"/>
        </w:trPr>
        <w:tc>
          <w:tcPr>
            <w:tcW w:w="6565" w:type="dxa"/>
            <w:gridSpan w:val="4"/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56987" w:rsidRPr="0026029B" w:rsidRDefault="00E56987" w:rsidP="00E56987">
            <w:pPr>
              <w:spacing w:after="0" w:line="240" w:lineRule="auto"/>
              <w:rPr>
                <w:rFonts w:ascii="Roboto" w:eastAsia="Times New Roman" w:hAnsi="Roboto" w:cs="Helvetica"/>
                <w:b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b/>
                <w:color w:val="333333"/>
                <w:sz w:val="24"/>
                <w:szCs w:val="21"/>
              </w:rPr>
              <w:t>Other-Than-Serious</w:t>
            </w:r>
          </w:p>
        </w:tc>
      </w:tr>
      <w:tr w:rsidR="005A1357" w:rsidRPr="00E56987" w:rsidTr="0026029B">
        <w:trPr>
          <w:trHeight w:val="252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26029B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Minimal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26029B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Greater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26029B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  <w:r w:rsidRPr="0026029B"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  <w:t>$1,000-$13,653</w:t>
            </w:r>
          </w:p>
        </w:tc>
        <w:tc>
          <w:tcPr>
            <w:tcW w:w="1710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26029B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 w:val="24"/>
                <w:szCs w:val="21"/>
              </w:rPr>
            </w:pPr>
          </w:p>
        </w:tc>
      </w:tr>
      <w:tr w:rsidR="005A1357" w:rsidRPr="00E56987" w:rsidTr="0026029B">
        <w:trPr>
          <w:trHeight w:val="252"/>
        </w:trPr>
        <w:tc>
          <w:tcPr>
            <w:tcW w:w="13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5A1357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Cs w:val="21"/>
              </w:rPr>
            </w:pPr>
            <w:r w:rsidRPr="005A1357">
              <w:rPr>
                <w:rFonts w:ascii="Roboto" w:eastAsia="Times New Roman" w:hAnsi="Roboto" w:cs="Helvetica"/>
                <w:color w:val="333333"/>
                <w:szCs w:val="21"/>
              </w:rPr>
              <w:t>Minimal</w:t>
            </w:r>
          </w:p>
        </w:tc>
        <w:tc>
          <w:tcPr>
            <w:tcW w:w="15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5A1357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Cs w:val="21"/>
              </w:rPr>
            </w:pPr>
            <w:r w:rsidRPr="005A1357">
              <w:rPr>
                <w:rFonts w:ascii="Roboto" w:eastAsia="Times New Roman" w:hAnsi="Roboto" w:cs="Helvetica"/>
                <w:color w:val="333333"/>
                <w:szCs w:val="21"/>
              </w:rPr>
              <w:t>Lesser</w:t>
            </w:r>
          </w:p>
        </w:tc>
        <w:tc>
          <w:tcPr>
            <w:tcW w:w="196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5A1357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Cs w:val="21"/>
              </w:rPr>
            </w:pPr>
            <w:r w:rsidRPr="005A1357">
              <w:rPr>
                <w:rFonts w:ascii="Roboto" w:eastAsia="Times New Roman" w:hAnsi="Roboto" w:cs="Helvetica"/>
                <w:color w:val="333333"/>
                <w:szCs w:val="21"/>
              </w:rPr>
              <w:t>$0</w:t>
            </w:r>
          </w:p>
        </w:tc>
        <w:tc>
          <w:tcPr>
            <w:tcW w:w="1710" w:type="dxa"/>
            <w:vMerge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A1357" w:rsidRPr="005A1357" w:rsidRDefault="005A1357" w:rsidP="00E56987">
            <w:pPr>
              <w:spacing w:after="0" w:line="240" w:lineRule="auto"/>
              <w:jc w:val="center"/>
              <w:rPr>
                <w:rFonts w:ascii="Roboto" w:eastAsia="Times New Roman" w:hAnsi="Roboto" w:cs="Helvetica"/>
                <w:color w:val="333333"/>
                <w:szCs w:val="21"/>
              </w:rPr>
            </w:pPr>
          </w:p>
        </w:tc>
      </w:tr>
    </w:tbl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736409" w:rsidRDefault="00E56987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Combined or grouped violations </w:t>
      </w:r>
      <w:r w:rsidR="00736409">
        <w:rPr>
          <w:rFonts w:ascii="Cambria" w:hAnsi="Cambria"/>
        </w:rPr>
        <w:t xml:space="preserve">can </w:t>
      </w:r>
      <w:r>
        <w:rPr>
          <w:rFonts w:ascii="Cambria" w:hAnsi="Cambria"/>
        </w:rPr>
        <w:t xml:space="preserve">be considered one citation item. Multiple violations of the same standard can also be combined into one citation item.  </w:t>
      </w:r>
      <w:r w:rsidR="00736409">
        <w:rPr>
          <w:rFonts w:ascii="Cambria" w:hAnsi="Cambria"/>
        </w:rPr>
        <w:t>Expect the one with the highest gravity factor (severity or probability) to be used</w:t>
      </w:r>
      <w:r w:rsidR="00E94597">
        <w:rPr>
          <w:rFonts w:ascii="Cambria" w:hAnsi="Cambria"/>
        </w:rPr>
        <w:t xml:space="preserve"> to determine the GBP</w:t>
      </w:r>
      <w:r w:rsidR="00736409">
        <w:rPr>
          <w:rFonts w:ascii="Cambria" w:hAnsi="Cambria"/>
        </w:rPr>
        <w:t xml:space="preserve">. </w:t>
      </w:r>
    </w:p>
    <w:p w:rsidR="00736409" w:rsidRDefault="00736409" w:rsidP="00227CE0">
      <w:pPr>
        <w:spacing w:after="0" w:line="240" w:lineRule="auto"/>
        <w:jc w:val="both"/>
        <w:rPr>
          <w:rFonts w:ascii="Cambria" w:hAnsi="Cambria"/>
        </w:rPr>
      </w:pPr>
    </w:p>
    <w:p w:rsidR="00E56987" w:rsidRPr="009853CF" w:rsidRDefault="00736409" w:rsidP="00227CE0">
      <w:pPr>
        <w:spacing w:after="0" w:line="240" w:lineRule="auto"/>
        <w:jc w:val="both"/>
        <w:rPr>
          <w:rFonts w:ascii="Cambria" w:hAnsi="Cambria"/>
          <w:b/>
          <w:i/>
          <w:color w:val="2F5496" w:themeColor="accent5" w:themeShade="BF"/>
        </w:rPr>
      </w:pPr>
      <w:r w:rsidRPr="00736409">
        <w:rPr>
          <w:rFonts w:ascii="Cambria" w:hAnsi="Cambria"/>
          <w:b/>
          <w:i/>
          <w:color w:val="2F5496" w:themeColor="accent5" w:themeShade="BF"/>
        </w:rPr>
        <w:t>His</w:t>
      </w:r>
      <w:r w:rsidR="00A63FB5" w:rsidRPr="00736409">
        <w:rPr>
          <w:rFonts w:ascii="Cambria" w:hAnsi="Cambria"/>
          <w:b/>
          <w:i/>
          <w:color w:val="2F5496" w:themeColor="accent5" w:themeShade="BF"/>
        </w:rPr>
        <w:t>tor</w:t>
      </w:r>
      <w:r w:rsidR="00A63FB5" w:rsidRPr="009853CF">
        <w:rPr>
          <w:rFonts w:ascii="Cambria" w:hAnsi="Cambria"/>
          <w:b/>
          <w:i/>
          <w:color w:val="2F5496" w:themeColor="accent5" w:themeShade="BF"/>
        </w:rPr>
        <w:t xml:space="preserve">y </w:t>
      </w:r>
      <w:r w:rsidR="00371C01">
        <w:rPr>
          <w:rFonts w:ascii="Cambria" w:hAnsi="Cambria"/>
          <w:b/>
          <w:i/>
          <w:color w:val="2F5496" w:themeColor="accent5" w:themeShade="BF"/>
        </w:rPr>
        <w:t>Reductions</w:t>
      </w:r>
    </w:p>
    <w:p w:rsidR="00A63FB5" w:rsidRDefault="00A63FB5" w:rsidP="00227CE0">
      <w:pPr>
        <w:spacing w:after="0" w:line="240" w:lineRule="auto"/>
        <w:jc w:val="both"/>
        <w:rPr>
          <w:rFonts w:ascii="Cambria" w:hAnsi="Cambria"/>
        </w:rPr>
      </w:pPr>
    </w:p>
    <w:p w:rsidR="00A63FB5" w:rsidRDefault="00A63FB5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10% reduction in penalty </w:t>
      </w:r>
      <w:r w:rsidR="00E94597">
        <w:rPr>
          <w:rFonts w:ascii="Cambria" w:hAnsi="Cambria"/>
        </w:rPr>
        <w:t xml:space="preserve">costs </w:t>
      </w:r>
      <w:r>
        <w:rPr>
          <w:rFonts w:ascii="Cambria" w:hAnsi="Cambria"/>
        </w:rPr>
        <w:t>can be given to companies who have been inspected by OSHA and have had no serious, willful, repeat or failure-to-abate violations.  If your company hasn’t been inspected within 5 years, you’re not eligible for th</w:t>
      </w:r>
      <w:r w:rsidR="00736409">
        <w:rPr>
          <w:rFonts w:ascii="Cambria" w:hAnsi="Cambria"/>
        </w:rPr>
        <w:t>is</w:t>
      </w:r>
      <w:r>
        <w:rPr>
          <w:rFonts w:ascii="Cambria" w:hAnsi="Cambria"/>
        </w:rPr>
        <w:t xml:space="preserve"> discount.  If you’ve had a serious high gravity citation that became a final order, you could actually </w:t>
      </w:r>
      <w:r w:rsidR="00736409">
        <w:rPr>
          <w:rFonts w:ascii="Cambria" w:hAnsi="Cambria"/>
        </w:rPr>
        <w:t>see</w:t>
      </w:r>
      <w:r>
        <w:rPr>
          <w:rFonts w:ascii="Cambria" w:hAnsi="Cambria"/>
        </w:rPr>
        <w:t xml:space="preserve"> a 10% increase</w:t>
      </w:r>
      <w:r w:rsidR="00E94597">
        <w:rPr>
          <w:rFonts w:ascii="Cambria" w:hAnsi="Cambria"/>
        </w:rPr>
        <w:t xml:space="preserve"> in your costs</w:t>
      </w:r>
      <w:r>
        <w:rPr>
          <w:rFonts w:ascii="Cambria" w:hAnsi="Cambria"/>
        </w:rPr>
        <w:t>.</w:t>
      </w:r>
    </w:p>
    <w:p w:rsidR="00E56987" w:rsidRDefault="00E56987" w:rsidP="00227CE0">
      <w:pPr>
        <w:spacing w:after="0" w:line="240" w:lineRule="auto"/>
        <w:jc w:val="both"/>
        <w:rPr>
          <w:rFonts w:ascii="Cambria" w:hAnsi="Cambria"/>
        </w:rPr>
      </w:pPr>
    </w:p>
    <w:p w:rsidR="00E56987" w:rsidRPr="00C17A32" w:rsidRDefault="009853CF" w:rsidP="00227CE0">
      <w:pPr>
        <w:spacing w:after="0" w:line="240" w:lineRule="auto"/>
        <w:jc w:val="both"/>
        <w:rPr>
          <w:rFonts w:ascii="Cambria" w:hAnsi="Cambria"/>
          <w:b/>
          <w:i/>
          <w:color w:val="2F5496" w:themeColor="accent5" w:themeShade="BF"/>
        </w:rPr>
      </w:pPr>
      <w:r w:rsidRPr="00C17A32">
        <w:rPr>
          <w:rFonts w:ascii="Cambria" w:hAnsi="Cambria"/>
          <w:b/>
          <w:i/>
          <w:color w:val="2F5496" w:themeColor="accent5" w:themeShade="BF"/>
        </w:rPr>
        <w:t xml:space="preserve">Good Faith </w:t>
      </w:r>
      <w:r w:rsidR="00371C01">
        <w:rPr>
          <w:rFonts w:ascii="Cambria" w:hAnsi="Cambria"/>
          <w:b/>
          <w:i/>
          <w:color w:val="2F5496" w:themeColor="accent5" w:themeShade="BF"/>
        </w:rPr>
        <w:t>Reduction</w:t>
      </w:r>
      <w:r w:rsidR="00736409">
        <w:rPr>
          <w:rFonts w:ascii="Cambria" w:hAnsi="Cambria"/>
          <w:b/>
          <w:i/>
          <w:color w:val="2F5496" w:themeColor="accent5" w:themeShade="BF"/>
        </w:rPr>
        <w:t>s</w:t>
      </w:r>
    </w:p>
    <w:p w:rsidR="009853CF" w:rsidRDefault="009853CF" w:rsidP="00227CE0">
      <w:pPr>
        <w:spacing w:after="0" w:line="240" w:lineRule="auto"/>
        <w:jc w:val="both"/>
        <w:rPr>
          <w:rFonts w:ascii="Cambria" w:hAnsi="Cambria"/>
        </w:rPr>
      </w:pPr>
    </w:p>
    <w:p w:rsidR="009853CF" w:rsidRDefault="009853CF" w:rsidP="00227CE0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maximum discount of 25% can be given for good faith efforts.  </w:t>
      </w:r>
      <w:r w:rsidR="00C17A32">
        <w:rPr>
          <w:rFonts w:ascii="Cambria" w:hAnsi="Cambria"/>
        </w:rPr>
        <w:t>The maximum 25% discount require</w:t>
      </w:r>
      <w:r w:rsidR="00736409">
        <w:rPr>
          <w:rFonts w:ascii="Cambria" w:hAnsi="Cambria"/>
        </w:rPr>
        <w:t xml:space="preserve">s you to have a </w:t>
      </w:r>
      <w:r w:rsidR="00C17A32">
        <w:rPr>
          <w:rFonts w:ascii="Cambria" w:hAnsi="Cambria"/>
        </w:rPr>
        <w:t xml:space="preserve">written health and </w:t>
      </w:r>
      <w:r w:rsidR="00736409">
        <w:rPr>
          <w:rFonts w:ascii="Cambria" w:hAnsi="Cambria"/>
        </w:rPr>
        <w:t>safety management system.  This</w:t>
      </w:r>
      <w:r w:rsidR="00C17A32">
        <w:rPr>
          <w:rFonts w:ascii="Cambria" w:hAnsi="Cambria"/>
        </w:rPr>
        <w:t xml:space="preserve"> would include</w:t>
      </w:r>
      <w:r w:rsidR="00736409">
        <w:rPr>
          <w:rFonts w:ascii="Cambria" w:hAnsi="Cambria"/>
        </w:rPr>
        <w:t xml:space="preserve"> a system outlining</w:t>
      </w:r>
      <w:r w:rsidR="00C17A32">
        <w:rPr>
          <w:rFonts w:ascii="Cambria" w:hAnsi="Cambria"/>
        </w:rPr>
        <w:t>:</w:t>
      </w:r>
    </w:p>
    <w:p w:rsidR="00C17A32" w:rsidRDefault="00C17A32" w:rsidP="00227CE0">
      <w:pPr>
        <w:spacing w:after="0" w:line="240" w:lineRule="auto"/>
        <w:jc w:val="both"/>
        <w:rPr>
          <w:rFonts w:ascii="Cambria" w:hAnsi="Cambria"/>
        </w:rPr>
      </w:pPr>
    </w:p>
    <w:p w:rsidR="00C17A32" w:rsidRPr="00C17A32" w:rsidRDefault="00C17A32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C17A32">
        <w:rPr>
          <w:rFonts w:ascii="Cambria" w:hAnsi="Cambria"/>
        </w:rPr>
        <w:t>Management commitment and employee involvement</w:t>
      </w:r>
    </w:p>
    <w:p w:rsidR="00C17A32" w:rsidRPr="00C17A32" w:rsidRDefault="00C17A32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C17A32">
        <w:rPr>
          <w:rFonts w:ascii="Cambria" w:hAnsi="Cambria"/>
        </w:rPr>
        <w:t>Hazard identification worksite analys</w:t>
      </w:r>
      <w:r w:rsidR="00736409">
        <w:rPr>
          <w:rFonts w:ascii="Cambria" w:hAnsi="Cambria"/>
        </w:rPr>
        <w:t>e</w:t>
      </w:r>
      <w:r w:rsidRPr="00C17A32">
        <w:rPr>
          <w:rFonts w:ascii="Cambria" w:hAnsi="Cambria"/>
        </w:rPr>
        <w:t>s</w:t>
      </w:r>
    </w:p>
    <w:p w:rsidR="00C17A32" w:rsidRPr="00C17A32" w:rsidRDefault="00C17A32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C17A32">
        <w:rPr>
          <w:rFonts w:ascii="Cambria" w:hAnsi="Cambria"/>
        </w:rPr>
        <w:t>Hazard prevention and control measures</w:t>
      </w:r>
    </w:p>
    <w:p w:rsidR="00C17A32" w:rsidRPr="00C17A32" w:rsidRDefault="00C17A32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C17A32">
        <w:rPr>
          <w:rFonts w:ascii="Cambria" w:hAnsi="Cambria"/>
        </w:rPr>
        <w:t>Safety and health training</w:t>
      </w:r>
    </w:p>
    <w:p w:rsidR="00C17A32" w:rsidRPr="00C17A32" w:rsidRDefault="00736409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Addressing </w:t>
      </w:r>
      <w:r w:rsidR="00C17A32" w:rsidRPr="00C17A32">
        <w:rPr>
          <w:rFonts w:ascii="Cambria" w:hAnsi="Cambria"/>
        </w:rPr>
        <w:t>needs of workers less than 18 years old (</w:t>
      </w:r>
      <w:r>
        <w:rPr>
          <w:rFonts w:ascii="Cambria" w:hAnsi="Cambria"/>
        </w:rPr>
        <w:t>if</w:t>
      </w:r>
      <w:r w:rsidR="00C17A32" w:rsidRPr="00C17A32">
        <w:rPr>
          <w:rFonts w:ascii="Cambria" w:hAnsi="Cambria"/>
        </w:rPr>
        <w:t xml:space="preserve"> applicable)</w:t>
      </w:r>
    </w:p>
    <w:p w:rsidR="00C17A32" w:rsidRPr="00C17A32" w:rsidRDefault="00C17A32" w:rsidP="00C17A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</w:rPr>
      </w:pPr>
      <w:r w:rsidRPr="00C17A32">
        <w:rPr>
          <w:rFonts w:ascii="Cambria" w:hAnsi="Cambria"/>
        </w:rPr>
        <w:t>Address</w:t>
      </w:r>
      <w:r w:rsidR="00736409">
        <w:rPr>
          <w:rFonts w:ascii="Cambria" w:hAnsi="Cambria"/>
        </w:rPr>
        <w:t xml:space="preserve">ing </w:t>
      </w:r>
      <w:r w:rsidRPr="00C17A32">
        <w:rPr>
          <w:rFonts w:ascii="Cambria" w:hAnsi="Cambria"/>
        </w:rPr>
        <w:t>needs of workers who speak limited or no English (</w:t>
      </w:r>
      <w:r w:rsidR="00736409">
        <w:rPr>
          <w:rFonts w:ascii="Cambria" w:hAnsi="Cambria"/>
        </w:rPr>
        <w:t xml:space="preserve">if </w:t>
      </w:r>
      <w:r w:rsidRPr="00C17A32">
        <w:rPr>
          <w:rFonts w:ascii="Cambria" w:hAnsi="Cambria"/>
        </w:rPr>
        <w:t>applicable)</w:t>
      </w:r>
    </w:p>
    <w:p w:rsidR="00B06163" w:rsidRDefault="00B06163" w:rsidP="00227CE0">
      <w:pPr>
        <w:spacing w:after="0" w:line="240" w:lineRule="auto"/>
        <w:jc w:val="both"/>
        <w:rPr>
          <w:rFonts w:ascii="Cambria" w:hAnsi="Cambria"/>
        </w:rPr>
      </w:pPr>
    </w:p>
    <w:p w:rsidR="00D751E7" w:rsidRDefault="00C17A32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15% reduction may be given if the employer has a documented and effective safety and health management system with only incidental deficiencies. </w:t>
      </w:r>
    </w:p>
    <w:p w:rsidR="00C17A32" w:rsidRDefault="00C17A32" w:rsidP="00736409">
      <w:pPr>
        <w:spacing w:after="0" w:line="240" w:lineRule="auto"/>
        <w:jc w:val="both"/>
        <w:rPr>
          <w:rFonts w:ascii="Cambria" w:hAnsi="Cambria"/>
        </w:rPr>
      </w:pPr>
    </w:p>
    <w:p w:rsidR="00C17A32" w:rsidRDefault="00C17A32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Good faith discounts will NOT be given for high gravity, willful, repeated, and failure to abate violations, or if you’ve reported a fatality, inpatient hospitalization, amputation or an eye loss. </w:t>
      </w:r>
    </w:p>
    <w:p w:rsidR="00E471BB" w:rsidRDefault="00E471BB" w:rsidP="00D751E7">
      <w:pPr>
        <w:spacing w:after="0" w:line="240" w:lineRule="auto"/>
        <w:rPr>
          <w:rFonts w:ascii="Cambria" w:hAnsi="Cambria"/>
        </w:rPr>
      </w:pPr>
    </w:p>
    <w:p w:rsidR="00E471BB" w:rsidRPr="00371C01" w:rsidRDefault="00E471BB" w:rsidP="00D751E7">
      <w:pPr>
        <w:spacing w:after="0" w:line="240" w:lineRule="auto"/>
        <w:rPr>
          <w:rFonts w:ascii="Cambria" w:hAnsi="Cambria"/>
          <w:b/>
          <w:i/>
          <w:color w:val="2F5496" w:themeColor="accent5" w:themeShade="BF"/>
        </w:rPr>
      </w:pPr>
      <w:r w:rsidRPr="00371C01">
        <w:rPr>
          <w:rFonts w:ascii="Cambria" w:hAnsi="Cambria"/>
          <w:b/>
          <w:i/>
          <w:color w:val="2F5496" w:themeColor="accent5" w:themeShade="BF"/>
        </w:rPr>
        <w:t xml:space="preserve">Business Size </w:t>
      </w:r>
      <w:r w:rsidR="00371C01">
        <w:rPr>
          <w:rFonts w:ascii="Cambria" w:hAnsi="Cambria"/>
          <w:b/>
          <w:i/>
          <w:color w:val="2F5496" w:themeColor="accent5" w:themeShade="BF"/>
        </w:rPr>
        <w:t>Reductions</w:t>
      </w:r>
    </w:p>
    <w:p w:rsidR="00E471BB" w:rsidRDefault="00E471BB" w:rsidP="00D751E7">
      <w:pPr>
        <w:spacing w:after="0" w:line="240" w:lineRule="auto"/>
        <w:rPr>
          <w:rFonts w:ascii="Cambria" w:hAnsi="Cambria"/>
        </w:rPr>
      </w:pPr>
    </w:p>
    <w:p w:rsidR="00E471BB" w:rsidRDefault="00E471BB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maximum </w:t>
      </w:r>
      <w:r w:rsidR="00813731">
        <w:rPr>
          <w:rFonts w:ascii="Cambria" w:hAnsi="Cambria"/>
        </w:rPr>
        <w:t>7</w:t>
      </w:r>
      <w:r>
        <w:rPr>
          <w:rFonts w:ascii="Cambria" w:hAnsi="Cambria"/>
        </w:rPr>
        <w:t xml:space="preserve">0% reduction can be </w:t>
      </w:r>
      <w:r w:rsidR="00E94597">
        <w:rPr>
          <w:rFonts w:ascii="Cambria" w:hAnsi="Cambria"/>
        </w:rPr>
        <w:t xml:space="preserve">gained </w:t>
      </w:r>
      <w:r>
        <w:rPr>
          <w:rFonts w:ascii="Cambria" w:hAnsi="Cambria"/>
        </w:rPr>
        <w:t xml:space="preserve">based on </w:t>
      </w:r>
      <w:r w:rsidR="00E94597">
        <w:rPr>
          <w:rFonts w:ascii="Cambria" w:hAnsi="Cambria"/>
        </w:rPr>
        <w:t xml:space="preserve">your </w:t>
      </w:r>
      <w:r>
        <w:rPr>
          <w:rFonts w:ascii="Cambria" w:hAnsi="Cambria"/>
        </w:rPr>
        <w:t xml:space="preserve">company size.  OSHA wanted to create a </w:t>
      </w:r>
      <w:r w:rsidR="00736409">
        <w:rPr>
          <w:rFonts w:ascii="Cambria" w:hAnsi="Cambria"/>
        </w:rPr>
        <w:t>scale</w:t>
      </w:r>
      <w:r>
        <w:rPr>
          <w:rFonts w:ascii="Cambria" w:hAnsi="Cambria"/>
        </w:rPr>
        <w:t xml:space="preserve"> where </w:t>
      </w:r>
      <w:r w:rsidR="00652658">
        <w:rPr>
          <w:rFonts w:ascii="Cambria" w:hAnsi="Cambria"/>
        </w:rPr>
        <w:t xml:space="preserve">they could minimize the impact to </w:t>
      </w:r>
      <w:r>
        <w:rPr>
          <w:rFonts w:ascii="Cambria" w:hAnsi="Cambria"/>
        </w:rPr>
        <w:t xml:space="preserve">small businesses.  This </w:t>
      </w:r>
      <w:r w:rsidR="00736409">
        <w:rPr>
          <w:rFonts w:ascii="Cambria" w:hAnsi="Cambria"/>
        </w:rPr>
        <w:t xml:space="preserve">reduction </w:t>
      </w:r>
      <w:r>
        <w:rPr>
          <w:rFonts w:ascii="Cambria" w:hAnsi="Cambria"/>
        </w:rPr>
        <w:t xml:space="preserve">applies to businesses with 250 or less employees total nationwide.  </w:t>
      </w:r>
      <w:r w:rsidR="00813731">
        <w:rPr>
          <w:rFonts w:ascii="Cambria" w:hAnsi="Cambria"/>
        </w:rPr>
        <w:t xml:space="preserve"> Companies with 1-10 employees can get the 70% reduction, 11-25 employees a 60% reduction, 26-100 is 30%, and 101-250 is 10%.</w:t>
      </w:r>
      <w:r w:rsidR="00736409">
        <w:rPr>
          <w:rFonts w:ascii="Cambria" w:hAnsi="Cambria"/>
        </w:rPr>
        <w:t xml:space="preserve"> </w:t>
      </w:r>
    </w:p>
    <w:p w:rsidR="0025231E" w:rsidRDefault="0025231E" w:rsidP="0025231E">
      <w:pPr>
        <w:spacing w:after="0" w:line="240" w:lineRule="auto"/>
        <w:rPr>
          <w:rFonts w:ascii="Cambria" w:hAnsi="Cambria"/>
          <w:b/>
          <w:color w:val="C00000"/>
        </w:rPr>
      </w:pPr>
    </w:p>
    <w:p w:rsidR="0025231E" w:rsidRPr="00E24AEF" w:rsidRDefault="0025231E" w:rsidP="0025231E">
      <w:pPr>
        <w:spacing w:after="0" w:line="240" w:lineRule="auto"/>
        <w:rPr>
          <w:rFonts w:ascii="Cambria" w:hAnsi="Cambria"/>
          <w:b/>
          <w:i/>
          <w:color w:val="C30538"/>
        </w:rPr>
      </w:pPr>
      <w:r w:rsidRPr="00E24AEF">
        <w:rPr>
          <w:rFonts w:ascii="Cambria" w:hAnsi="Cambria"/>
          <w:b/>
          <w:i/>
          <w:color w:val="C30538"/>
        </w:rPr>
        <w:t>Quick Fix Reductions</w:t>
      </w:r>
    </w:p>
    <w:p w:rsidR="0025231E" w:rsidRDefault="0025231E" w:rsidP="0025231E">
      <w:pPr>
        <w:spacing w:after="0" w:line="240" w:lineRule="auto"/>
        <w:rPr>
          <w:rFonts w:ascii="Cambria" w:hAnsi="Cambria"/>
        </w:rPr>
      </w:pPr>
    </w:p>
    <w:p w:rsidR="0025231E" w:rsidRDefault="0025231E" w:rsidP="00736409">
      <w:pPr>
        <w:spacing w:after="0" w:line="240" w:lineRule="auto"/>
        <w:jc w:val="both"/>
        <w:rPr>
          <w:rFonts w:ascii="Cambria" w:hAnsi="Cambria"/>
        </w:rPr>
      </w:pPr>
      <w:r w:rsidRPr="00652658">
        <w:rPr>
          <w:rFonts w:ascii="Cambria" w:hAnsi="Cambria"/>
        </w:rPr>
        <w:t xml:space="preserve">If you’re able to make an immediate correction to an individual violation and that correction is </w:t>
      </w:r>
      <w:r w:rsidR="00E94597">
        <w:rPr>
          <w:rFonts w:ascii="Cambria" w:hAnsi="Cambria"/>
        </w:rPr>
        <w:t xml:space="preserve">(1) </w:t>
      </w:r>
      <w:r w:rsidRPr="00652658">
        <w:rPr>
          <w:rFonts w:ascii="Cambria" w:hAnsi="Cambria"/>
        </w:rPr>
        <w:t>permanent or substantial</w:t>
      </w:r>
      <w:r w:rsidR="00E94597">
        <w:rPr>
          <w:rFonts w:ascii="Cambria" w:hAnsi="Cambria"/>
        </w:rPr>
        <w:t xml:space="preserve"> (e.g., not just moving someone out of the way)</w:t>
      </w:r>
      <w:r w:rsidRPr="00652658">
        <w:rPr>
          <w:rFonts w:ascii="Cambria" w:hAnsi="Cambria"/>
        </w:rPr>
        <w:t>, not blatantly obvious</w:t>
      </w:r>
      <w:r w:rsidR="00E94597">
        <w:rPr>
          <w:rFonts w:ascii="Cambria" w:hAnsi="Cambria"/>
        </w:rPr>
        <w:t xml:space="preserve"> (e.g., wearing a hard hat or safety glasses)</w:t>
      </w:r>
      <w:r w:rsidRPr="00652658">
        <w:rPr>
          <w:rFonts w:ascii="Cambria" w:hAnsi="Cambria"/>
        </w:rPr>
        <w:t xml:space="preserve">, and not </w:t>
      </w:r>
      <w:r w:rsidR="00E94597">
        <w:rPr>
          <w:rFonts w:ascii="Cambria" w:hAnsi="Cambria"/>
        </w:rPr>
        <w:t xml:space="preserve">a </w:t>
      </w:r>
      <w:r w:rsidRPr="00652658">
        <w:rPr>
          <w:rFonts w:ascii="Cambria" w:hAnsi="Cambria"/>
        </w:rPr>
        <w:t>high gravity serious/willful/repeat/failure to abate</w:t>
      </w:r>
      <w:r w:rsidR="00E94597">
        <w:rPr>
          <w:rFonts w:ascii="Cambria" w:hAnsi="Cambria"/>
        </w:rPr>
        <w:t xml:space="preserve"> violation</w:t>
      </w:r>
      <w:r w:rsidRPr="00652658">
        <w:rPr>
          <w:rFonts w:ascii="Cambria" w:hAnsi="Cambria"/>
        </w:rPr>
        <w:t>, you can</w:t>
      </w:r>
      <w:r w:rsidR="00E94597">
        <w:rPr>
          <w:rFonts w:ascii="Cambria" w:hAnsi="Cambria"/>
        </w:rPr>
        <w:t xml:space="preserve"> get a 15% Quick Fix reduction.  This one is applied </w:t>
      </w:r>
      <w:r w:rsidRPr="00652658">
        <w:rPr>
          <w:rFonts w:ascii="Cambria" w:hAnsi="Cambria"/>
        </w:rPr>
        <w:t xml:space="preserve">after </w:t>
      </w:r>
      <w:r w:rsidR="00E94597">
        <w:rPr>
          <w:rFonts w:ascii="Cambria" w:hAnsi="Cambria"/>
        </w:rPr>
        <w:t xml:space="preserve">the </w:t>
      </w:r>
      <w:r w:rsidRPr="00652658">
        <w:rPr>
          <w:rFonts w:ascii="Cambria" w:hAnsi="Cambria"/>
        </w:rPr>
        <w:t>good faith and history adjustments are made.</w:t>
      </w:r>
      <w:r w:rsidR="00736409">
        <w:rPr>
          <w:rFonts w:ascii="Cambria" w:hAnsi="Cambria"/>
        </w:rPr>
        <w:t xml:space="preserve">  </w:t>
      </w:r>
    </w:p>
    <w:p w:rsidR="00813731" w:rsidRDefault="00813731" w:rsidP="00813731">
      <w:pPr>
        <w:spacing w:after="0" w:line="240" w:lineRule="auto"/>
        <w:jc w:val="both"/>
        <w:rPr>
          <w:rFonts w:ascii="Cambria" w:hAnsi="Cambria"/>
        </w:rPr>
      </w:pPr>
    </w:p>
    <w:p w:rsidR="00E471BB" w:rsidRPr="00813731" w:rsidRDefault="00E471BB" w:rsidP="00D751E7">
      <w:pPr>
        <w:spacing w:after="0" w:line="240" w:lineRule="auto"/>
        <w:rPr>
          <w:rFonts w:ascii="Cambria" w:hAnsi="Cambria"/>
          <w:b/>
          <w:color w:val="C00000"/>
        </w:rPr>
      </w:pPr>
      <w:r w:rsidRPr="00813731">
        <w:rPr>
          <w:rFonts w:ascii="Cambria" w:hAnsi="Cambria"/>
          <w:b/>
          <w:color w:val="C00000"/>
        </w:rPr>
        <w:t>Limits of Discounts</w:t>
      </w:r>
    </w:p>
    <w:p w:rsidR="00E471BB" w:rsidRDefault="00E471BB" w:rsidP="00D751E7">
      <w:pPr>
        <w:spacing w:after="0" w:line="240" w:lineRule="auto"/>
        <w:rPr>
          <w:rFonts w:ascii="Cambria" w:hAnsi="Cambria"/>
        </w:rPr>
      </w:pPr>
    </w:p>
    <w:p w:rsidR="00813731" w:rsidRDefault="00E471BB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Different discounts can be rescinded or altered depending on the circumstance</w:t>
      </w:r>
      <w:r w:rsidR="00E94597">
        <w:rPr>
          <w:rFonts w:ascii="Cambria" w:hAnsi="Cambria"/>
        </w:rPr>
        <w:t xml:space="preserve"> or type of violation</w:t>
      </w:r>
      <w:r>
        <w:rPr>
          <w:rFonts w:ascii="Cambria" w:hAnsi="Cambria"/>
        </w:rPr>
        <w:t xml:space="preserve">.  </w:t>
      </w:r>
    </w:p>
    <w:p w:rsidR="00813731" w:rsidRDefault="00813731" w:rsidP="00736409">
      <w:pPr>
        <w:spacing w:after="0" w:line="240" w:lineRule="auto"/>
        <w:jc w:val="both"/>
        <w:rPr>
          <w:rFonts w:ascii="Cambria" w:hAnsi="Cambria"/>
        </w:rPr>
      </w:pPr>
    </w:p>
    <w:p w:rsidR="00813731" w:rsidRDefault="00E471BB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Repeated violations will only be reduced for size.  </w:t>
      </w:r>
      <w:r w:rsidR="00652658">
        <w:rPr>
          <w:rFonts w:ascii="Cambria" w:hAnsi="Cambria"/>
        </w:rPr>
        <w:t>Repeated violations can actually have their penalties increased, and those increases are also based on size.</w:t>
      </w:r>
    </w:p>
    <w:p w:rsidR="00813731" w:rsidRDefault="00813731" w:rsidP="00736409">
      <w:pPr>
        <w:spacing w:after="0" w:line="240" w:lineRule="auto"/>
        <w:jc w:val="both"/>
        <w:rPr>
          <w:rFonts w:ascii="Cambria" w:hAnsi="Cambria"/>
        </w:rPr>
      </w:pPr>
    </w:p>
    <w:p w:rsidR="00813731" w:rsidRDefault="00E471BB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Willful violations are only </w:t>
      </w:r>
      <w:r w:rsidR="00813731">
        <w:rPr>
          <w:rFonts w:ascii="Cambria" w:hAnsi="Cambria"/>
        </w:rPr>
        <w:t>eligible</w:t>
      </w:r>
      <w:r>
        <w:rPr>
          <w:rFonts w:ascii="Cambria" w:hAnsi="Cambria"/>
        </w:rPr>
        <w:t xml:space="preserve"> for </w:t>
      </w:r>
      <w:r w:rsidR="00652658">
        <w:rPr>
          <w:rFonts w:ascii="Cambria" w:hAnsi="Cambria"/>
        </w:rPr>
        <w:t>a</w:t>
      </w:r>
      <w:r>
        <w:rPr>
          <w:rFonts w:ascii="Cambria" w:hAnsi="Cambria"/>
        </w:rPr>
        <w:t xml:space="preserve"> size and history discount. </w:t>
      </w:r>
      <w:r w:rsidR="00652658">
        <w:rPr>
          <w:rFonts w:ascii="Cambria" w:hAnsi="Cambria"/>
        </w:rPr>
        <w:t xml:space="preserve"> </w:t>
      </w:r>
      <w:r w:rsidR="00736409">
        <w:rPr>
          <w:rFonts w:ascii="Cambria" w:hAnsi="Cambria"/>
        </w:rPr>
        <w:t>Willful violations have their own size chart of reduction percentages.</w:t>
      </w:r>
    </w:p>
    <w:p w:rsidR="00652658" w:rsidRDefault="00652658" w:rsidP="00736409">
      <w:pPr>
        <w:spacing w:after="0" w:line="240" w:lineRule="auto"/>
        <w:jc w:val="both"/>
        <w:rPr>
          <w:rFonts w:ascii="Cambria" w:hAnsi="Cambria"/>
        </w:rPr>
      </w:pPr>
    </w:p>
    <w:p w:rsidR="00E471BB" w:rsidRDefault="00E471BB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Serious violations classified as higher severity/greater probability are only </w:t>
      </w:r>
      <w:r w:rsidR="00813731">
        <w:rPr>
          <w:rFonts w:ascii="Cambria" w:hAnsi="Cambria"/>
        </w:rPr>
        <w:t>eligible</w:t>
      </w:r>
      <w:r>
        <w:rPr>
          <w:rFonts w:ascii="Cambria" w:hAnsi="Cambria"/>
        </w:rPr>
        <w:t xml:space="preserve"> for the size and history. </w:t>
      </w:r>
    </w:p>
    <w:p w:rsidR="00652658" w:rsidRDefault="00652658" w:rsidP="00D751E7">
      <w:pPr>
        <w:spacing w:after="0" w:line="240" w:lineRule="auto"/>
        <w:rPr>
          <w:rFonts w:ascii="Cambria" w:hAnsi="Cambria"/>
        </w:rPr>
      </w:pPr>
    </w:p>
    <w:p w:rsidR="005B1124" w:rsidRPr="00371C01" w:rsidRDefault="00652658" w:rsidP="00652658">
      <w:pPr>
        <w:spacing w:after="0" w:line="240" w:lineRule="auto"/>
        <w:rPr>
          <w:rFonts w:ascii="Cambria" w:hAnsi="Cambria"/>
          <w:b/>
          <w:color w:val="C00000"/>
        </w:rPr>
      </w:pPr>
      <w:r w:rsidRPr="00371C01">
        <w:rPr>
          <w:rFonts w:ascii="Cambria" w:hAnsi="Cambria"/>
          <w:b/>
          <w:color w:val="C00000"/>
        </w:rPr>
        <w:t>Other Penalties</w:t>
      </w:r>
    </w:p>
    <w:p w:rsidR="00652658" w:rsidRDefault="00652658" w:rsidP="00652658">
      <w:pPr>
        <w:spacing w:after="0" w:line="240" w:lineRule="auto"/>
        <w:rPr>
          <w:rFonts w:ascii="Cambria" w:hAnsi="Cambria"/>
        </w:rPr>
      </w:pPr>
    </w:p>
    <w:p w:rsidR="00652658" w:rsidRDefault="00652658" w:rsidP="0065265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OSHA has additional calculation guidelines for a number of other circumstances including: </w:t>
      </w:r>
    </w:p>
    <w:p w:rsidR="00652658" w:rsidRDefault="00652658" w:rsidP="00652658">
      <w:pPr>
        <w:spacing w:after="0" w:line="240" w:lineRule="auto"/>
        <w:rPr>
          <w:rFonts w:ascii="Cambria" w:hAnsi="Cambria"/>
        </w:rPr>
      </w:pPr>
    </w:p>
    <w:p w:rsidR="00652658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U</w:t>
      </w:r>
      <w:r w:rsidR="00E94597">
        <w:rPr>
          <w:rFonts w:ascii="Cambria" w:hAnsi="Cambria"/>
        </w:rPr>
        <w:t>nabated violations;</w:t>
      </w:r>
    </w:p>
    <w:p w:rsidR="00652658" w:rsidRPr="0025231E" w:rsidRDefault="0025231E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 xml:space="preserve">Daily </w:t>
      </w:r>
      <w:r w:rsidR="00E94597">
        <w:rPr>
          <w:rFonts w:ascii="Cambria" w:hAnsi="Cambria"/>
        </w:rPr>
        <w:t>penalty multipliers;</w:t>
      </w:r>
    </w:p>
    <w:p w:rsidR="00652658" w:rsidRPr="0025231E" w:rsidRDefault="0025231E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 xml:space="preserve">Partial </w:t>
      </w:r>
      <w:r w:rsidR="00E94597">
        <w:rPr>
          <w:rFonts w:ascii="Cambria" w:hAnsi="Cambria"/>
        </w:rPr>
        <w:t>abatements;</w:t>
      </w:r>
    </w:p>
    <w:p w:rsidR="00652658" w:rsidRPr="0025231E" w:rsidRDefault="0025231E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Violation</w:t>
      </w:r>
      <w:r w:rsidR="00652658" w:rsidRPr="0025231E">
        <w:rPr>
          <w:rFonts w:ascii="Cambria" w:hAnsi="Cambria"/>
        </w:rPr>
        <w:t>-by</w:t>
      </w:r>
      <w:r w:rsidR="00E94597">
        <w:rPr>
          <w:rFonts w:ascii="Cambria" w:hAnsi="Cambria"/>
        </w:rPr>
        <w:t>-violation egregious penalties;</w:t>
      </w:r>
    </w:p>
    <w:p w:rsidR="00652658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Multi-employer worksites;</w:t>
      </w:r>
    </w:p>
    <w:p w:rsidR="0025231E" w:rsidRPr="0025231E" w:rsidRDefault="00DA12DF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Federal</w:t>
      </w:r>
      <w:r w:rsidR="0025231E" w:rsidRPr="0025231E">
        <w:rPr>
          <w:rFonts w:ascii="Cambria" w:hAnsi="Cambria"/>
        </w:rPr>
        <w:t xml:space="preserve"> Agency significant cases;</w:t>
      </w:r>
    </w:p>
    <w:p w:rsidR="0025231E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Failure to post citations;</w:t>
      </w:r>
    </w:p>
    <w:p w:rsidR="00652658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Failure to notify authorized employees of an advance notice of inspection;</w:t>
      </w:r>
    </w:p>
    <w:p w:rsidR="00652658" w:rsidRPr="0025231E" w:rsidRDefault="00E94597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Injury</w:t>
      </w:r>
      <w:r w:rsidR="00652658" w:rsidRPr="0025231E">
        <w:rPr>
          <w:rFonts w:ascii="Cambria" w:hAnsi="Cambria"/>
        </w:rPr>
        <w:t xml:space="preserve"> and illness reporting and recordkeeping;</w:t>
      </w:r>
    </w:p>
    <w:p w:rsidR="00652658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 xml:space="preserve">Failure to provide access to medical and exposure records; </w:t>
      </w:r>
    </w:p>
    <w:p w:rsidR="00652658" w:rsidRPr="0025231E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Failure to notify and tag; and</w:t>
      </w:r>
      <w:r w:rsidR="0025231E" w:rsidRPr="0025231E">
        <w:rPr>
          <w:rFonts w:ascii="Cambria" w:hAnsi="Cambria"/>
        </w:rPr>
        <w:t>,</w:t>
      </w:r>
    </w:p>
    <w:p w:rsidR="00652658" w:rsidRDefault="00652658" w:rsidP="0025231E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25231E">
        <w:rPr>
          <w:rFonts w:ascii="Cambria" w:hAnsi="Cambria"/>
        </w:rPr>
        <w:t>Failing to certify abatement.</w:t>
      </w:r>
    </w:p>
    <w:p w:rsidR="00E94597" w:rsidRDefault="00E94597" w:rsidP="00E94597">
      <w:pPr>
        <w:spacing w:after="0" w:line="240" w:lineRule="auto"/>
        <w:rPr>
          <w:rFonts w:ascii="Cambria" w:hAnsi="Cambria"/>
        </w:rPr>
      </w:pPr>
    </w:p>
    <w:p w:rsidR="00736409" w:rsidRDefault="0025231E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You can find all of the details about</w:t>
      </w:r>
      <w:r w:rsidR="00736409">
        <w:rPr>
          <w:rFonts w:ascii="Cambria" w:hAnsi="Cambria"/>
        </w:rPr>
        <w:t xml:space="preserve"> these</w:t>
      </w:r>
      <w:r>
        <w:rPr>
          <w:rFonts w:ascii="Cambria" w:hAnsi="Cambria"/>
        </w:rPr>
        <w:t xml:space="preserve"> </w:t>
      </w:r>
      <w:r w:rsidR="00736409">
        <w:rPr>
          <w:rFonts w:ascii="Cambria" w:hAnsi="Cambria"/>
        </w:rPr>
        <w:t xml:space="preserve">penalties and reductions </w:t>
      </w:r>
      <w:r>
        <w:rPr>
          <w:rFonts w:ascii="Cambria" w:hAnsi="Cambria"/>
        </w:rPr>
        <w:t xml:space="preserve">in OSHA’s </w:t>
      </w:r>
      <w:hyperlink r:id="rId5" w:history="1">
        <w:r w:rsidRPr="0025231E">
          <w:rPr>
            <w:rStyle w:val="Hyperlink"/>
            <w:rFonts w:ascii="Cambria" w:hAnsi="Cambria"/>
          </w:rPr>
          <w:t xml:space="preserve">Field Operations Manual section on </w:t>
        </w:r>
        <w:r w:rsidR="00736409">
          <w:rPr>
            <w:rStyle w:val="Hyperlink"/>
            <w:rFonts w:ascii="Cambria" w:hAnsi="Cambria"/>
          </w:rPr>
          <w:t>p</w:t>
        </w:r>
        <w:r w:rsidRPr="0025231E">
          <w:rPr>
            <w:rStyle w:val="Hyperlink"/>
            <w:rFonts w:ascii="Cambria" w:hAnsi="Cambria"/>
          </w:rPr>
          <w:t>enalties</w:t>
        </w:r>
      </w:hyperlink>
      <w:r>
        <w:rPr>
          <w:rFonts w:ascii="Cambria" w:hAnsi="Cambria"/>
        </w:rPr>
        <w:t xml:space="preserve">.  </w:t>
      </w:r>
    </w:p>
    <w:p w:rsidR="00736409" w:rsidRDefault="00736409" w:rsidP="00736409">
      <w:pPr>
        <w:spacing w:after="0" w:line="240" w:lineRule="auto"/>
        <w:jc w:val="both"/>
        <w:rPr>
          <w:rFonts w:ascii="Cambria" w:hAnsi="Cambria"/>
        </w:rPr>
      </w:pPr>
    </w:p>
    <w:p w:rsidR="0025231E" w:rsidRDefault="00736409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2021 adjustments and rates </w:t>
      </w:r>
      <w:r w:rsidR="0025231E">
        <w:rPr>
          <w:rFonts w:ascii="Cambria" w:hAnsi="Cambria"/>
        </w:rPr>
        <w:t xml:space="preserve">can be found in </w:t>
      </w:r>
      <w:hyperlink r:id="rId6" w:history="1">
        <w:r w:rsidR="0025231E" w:rsidRPr="0025231E">
          <w:rPr>
            <w:rStyle w:val="Hyperlink"/>
            <w:rFonts w:ascii="Cambria" w:hAnsi="Cambria"/>
          </w:rPr>
          <w:t>OSHA’s Enforcement Memo</w:t>
        </w:r>
      </w:hyperlink>
      <w:r w:rsidR="0025231E">
        <w:rPr>
          <w:rFonts w:ascii="Cambria" w:hAnsi="Cambria"/>
        </w:rPr>
        <w:t xml:space="preserve"> dated January 8, 2021.</w:t>
      </w:r>
    </w:p>
    <w:p w:rsidR="00736409" w:rsidRDefault="00736409" w:rsidP="00736409">
      <w:pPr>
        <w:spacing w:after="0" w:line="240" w:lineRule="auto"/>
        <w:jc w:val="both"/>
        <w:rPr>
          <w:rFonts w:ascii="Cambria" w:hAnsi="Cambria"/>
        </w:rPr>
      </w:pPr>
    </w:p>
    <w:p w:rsidR="00736409" w:rsidRPr="0025231E" w:rsidRDefault="00736409" w:rsidP="00736409">
      <w:p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If you find yourself needing help sorting these out, or if you’d like to get started on a safety a</w:t>
      </w:r>
      <w:r w:rsidR="00DA12DF">
        <w:rPr>
          <w:rFonts w:ascii="Cambria" w:hAnsi="Cambria"/>
        </w:rPr>
        <w:t xml:space="preserve">nd health management system to get started on a potential good faith discount, contact us! </w:t>
      </w:r>
    </w:p>
    <w:p w:rsidR="00652658" w:rsidRDefault="00652658" w:rsidP="00652658">
      <w:pPr>
        <w:spacing w:after="0" w:line="240" w:lineRule="auto"/>
        <w:rPr>
          <w:rFonts w:ascii="Cambria" w:hAnsi="Cambria"/>
        </w:rPr>
      </w:pPr>
    </w:p>
    <w:p w:rsidR="00652658" w:rsidRDefault="00652658" w:rsidP="00652658">
      <w:pPr>
        <w:spacing w:after="0" w:line="240" w:lineRule="auto"/>
        <w:rPr>
          <w:rFonts w:ascii="Cambria" w:hAnsi="Cambria"/>
        </w:rPr>
      </w:pPr>
    </w:p>
    <w:p w:rsidR="00652658" w:rsidRPr="00652658" w:rsidRDefault="00652658" w:rsidP="00652658">
      <w:pPr>
        <w:spacing w:after="0" w:line="240" w:lineRule="auto"/>
        <w:rPr>
          <w:rFonts w:ascii="Cambria" w:hAnsi="Cambria"/>
        </w:rPr>
      </w:pPr>
    </w:p>
    <w:sectPr w:rsidR="00652658" w:rsidRPr="006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C72EF"/>
    <w:multiLevelType w:val="hybridMultilevel"/>
    <w:tmpl w:val="0E04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4B25"/>
    <w:multiLevelType w:val="hybridMultilevel"/>
    <w:tmpl w:val="09A4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7086"/>
    <w:multiLevelType w:val="hybridMultilevel"/>
    <w:tmpl w:val="2C36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B6248"/>
    <w:multiLevelType w:val="hybridMultilevel"/>
    <w:tmpl w:val="4268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2E"/>
    <w:rsid w:val="00127456"/>
    <w:rsid w:val="00227CE0"/>
    <w:rsid w:val="0025231E"/>
    <w:rsid w:val="0026029B"/>
    <w:rsid w:val="00371C01"/>
    <w:rsid w:val="003E7997"/>
    <w:rsid w:val="00557B22"/>
    <w:rsid w:val="005A1357"/>
    <w:rsid w:val="005B1124"/>
    <w:rsid w:val="005D2D2E"/>
    <w:rsid w:val="00652658"/>
    <w:rsid w:val="00736409"/>
    <w:rsid w:val="00813731"/>
    <w:rsid w:val="0081700E"/>
    <w:rsid w:val="00907670"/>
    <w:rsid w:val="009853CF"/>
    <w:rsid w:val="00A63FB5"/>
    <w:rsid w:val="00A879FE"/>
    <w:rsid w:val="00B06163"/>
    <w:rsid w:val="00C17A32"/>
    <w:rsid w:val="00CC0D73"/>
    <w:rsid w:val="00D751E7"/>
    <w:rsid w:val="00DA12DF"/>
    <w:rsid w:val="00E24AEF"/>
    <w:rsid w:val="00E471BB"/>
    <w:rsid w:val="00E56987"/>
    <w:rsid w:val="00E9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D4E93"/>
  <w14:defaultImageDpi w14:val="330"/>
  <w15:chartTrackingRefBased/>
  <w15:docId w15:val="{6ACB5D66-F8DF-471D-821B-FD4294D4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3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9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ha.gov/memos/2021-01-11/2021-annual-adjustments-osha-civil-penalties" TargetMode="External"/><Relationship Id="rId5" Type="http://schemas.openxmlformats.org/officeDocument/2006/relationships/hyperlink" Target="https://www.osha.gov/enforcement/directives/cpl-02-00-164/chapter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9</cp:revision>
  <cp:lastPrinted>2021-01-15T20:47:00Z</cp:lastPrinted>
  <dcterms:created xsi:type="dcterms:W3CDTF">2021-01-14T20:32:00Z</dcterms:created>
  <dcterms:modified xsi:type="dcterms:W3CDTF">2021-01-15T22:42:00Z</dcterms:modified>
</cp:coreProperties>
</file>