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9663" w14:textId="67D22C50" w:rsidR="00BD20A1" w:rsidRPr="00BD20A1" w:rsidRDefault="00BD20A1" w:rsidP="00BD20A1">
      <w:pPr>
        <w:spacing w:before="100" w:beforeAutospacing="1" w:after="100" w:afterAutospacing="1"/>
        <w:rPr>
          <w:rFonts w:ascii="Arial" w:eastAsia="Times New Roman" w:hAnsi="Arial" w:cs="Arial"/>
          <w:b/>
          <w:bCs/>
          <w:kern w:val="0"/>
          <w:sz w:val="28"/>
          <w:szCs w:val="28"/>
          <w14:ligatures w14:val="none"/>
        </w:rPr>
      </w:pPr>
      <w:r w:rsidRPr="00BD20A1">
        <w:rPr>
          <w:rFonts w:ascii="Arial" w:eastAsia="Times New Roman" w:hAnsi="Arial" w:cs="Arial"/>
          <w:b/>
          <w:bCs/>
          <w:kern w:val="0"/>
          <w:sz w:val="28"/>
          <w:szCs w:val="28"/>
          <w14:ligatures w14:val="none"/>
        </w:rPr>
        <w:t>OSHA Injury Posting Requirements</w:t>
      </w:r>
    </w:p>
    <w:p w14:paraId="597E0AAB" w14:textId="72233F56"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It's that time of year again when employers need to post and submit last year's injury and illness data.  Here is a list of timeframes and more information about which companies this affects:</w:t>
      </w:r>
    </w:p>
    <w:p w14:paraId="536C1C8F" w14:textId="77777777" w:rsidR="00BD20A1" w:rsidRPr="00BD20A1" w:rsidRDefault="00BD20A1" w:rsidP="00BD20A1">
      <w:pPr>
        <w:spacing w:before="100" w:beforeAutospacing="1" w:after="100" w:afterAutospacing="1"/>
        <w:outlineLvl w:val="3"/>
        <w:rPr>
          <w:rFonts w:ascii="Arial" w:eastAsia="Times New Roman" w:hAnsi="Arial" w:cs="Arial"/>
          <w:b/>
          <w:bCs/>
          <w:kern w:val="0"/>
          <w:sz w:val="24"/>
          <w:szCs w:val="24"/>
          <w14:ligatures w14:val="none"/>
        </w:rPr>
      </w:pPr>
      <w:r w:rsidRPr="00BD20A1">
        <w:rPr>
          <w:rFonts w:ascii="Arial" w:eastAsia="Times New Roman" w:hAnsi="Arial" w:cs="Arial"/>
          <w:b/>
          <w:bCs/>
          <w:color w:val="C10538"/>
          <w:kern w:val="0"/>
          <w:sz w:val="24"/>
          <w:szCs w:val="24"/>
          <w14:ligatures w14:val="none"/>
        </w:rPr>
        <w:t>Posting Injury and Illness Data</w:t>
      </w:r>
    </w:p>
    <w:p w14:paraId="75907D00"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All employers with 11 or more employees must post a copy of their OSHA 300A log from February 1 through April 30.  This needs to be placed in a common area where an employee can easily see it.  Make sure you have a company executive sign and certify it before posting.</w:t>
      </w:r>
    </w:p>
    <w:p w14:paraId="43186E26" w14:textId="77777777" w:rsidR="00BD20A1" w:rsidRPr="00BD20A1" w:rsidRDefault="00BD20A1" w:rsidP="00BD20A1">
      <w:pPr>
        <w:spacing w:before="100" w:beforeAutospacing="1" w:after="100" w:afterAutospacing="1"/>
        <w:outlineLvl w:val="3"/>
        <w:rPr>
          <w:rFonts w:ascii="Arial" w:eastAsia="Times New Roman" w:hAnsi="Arial" w:cs="Arial"/>
          <w:b/>
          <w:bCs/>
          <w:kern w:val="0"/>
          <w:sz w:val="24"/>
          <w:szCs w:val="24"/>
          <w14:ligatures w14:val="none"/>
        </w:rPr>
      </w:pPr>
      <w:r w:rsidRPr="00BD20A1">
        <w:rPr>
          <w:rFonts w:ascii="Arial" w:eastAsia="Times New Roman" w:hAnsi="Arial" w:cs="Arial"/>
          <w:b/>
          <w:bCs/>
          <w:color w:val="C10538"/>
          <w:kern w:val="0"/>
          <w:sz w:val="24"/>
          <w:szCs w:val="24"/>
          <w14:ligatures w14:val="none"/>
        </w:rPr>
        <w:t>Electronic Submittals to OSHA</w:t>
      </w:r>
    </w:p>
    <w:p w14:paraId="1B46791B"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 xml:space="preserve">Employers with more than 250 employees and employers with 20-249 employees under certain NAICS codes are required to submit their 300As to OSHA's Injury Tracking Application (ITA) website.  Here's a list of those special industries covered by the recordkeeping rule:  </w:t>
      </w:r>
      <w:hyperlink r:id="rId4" w:history="1">
        <w:r w:rsidRPr="00BD20A1">
          <w:rPr>
            <w:rFonts w:ascii="Arial" w:eastAsia="Times New Roman" w:hAnsi="Arial" w:cs="Arial"/>
            <w:color w:val="0000FF"/>
            <w:kern w:val="0"/>
            <w:sz w:val="24"/>
            <w:szCs w:val="24"/>
            <w:u w:val="single"/>
            <w14:ligatures w14:val="none"/>
          </w:rPr>
          <w:t>Covered Industries</w:t>
        </w:r>
      </w:hyperlink>
      <w:r w:rsidRPr="00BD20A1">
        <w:rPr>
          <w:rFonts w:ascii="Arial" w:eastAsia="Times New Roman" w:hAnsi="Arial" w:cs="Arial"/>
          <w:kern w:val="0"/>
          <w:sz w:val="24"/>
          <w:szCs w:val="24"/>
          <w14:ligatures w14:val="none"/>
        </w:rPr>
        <w:t>.</w:t>
      </w:r>
    </w:p>
    <w:p w14:paraId="79A0B75A"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proofErr w:type="gramStart"/>
      <w:r w:rsidRPr="00BD20A1">
        <w:rPr>
          <w:rFonts w:ascii="Arial" w:eastAsia="Times New Roman" w:hAnsi="Arial" w:cs="Arial"/>
          <w:kern w:val="0"/>
          <w:sz w:val="24"/>
          <w:szCs w:val="24"/>
          <w14:ligatures w14:val="none"/>
        </w:rPr>
        <w:t>In order to</w:t>
      </w:r>
      <w:proofErr w:type="gramEnd"/>
      <w:r w:rsidRPr="00BD20A1">
        <w:rPr>
          <w:rFonts w:ascii="Arial" w:eastAsia="Times New Roman" w:hAnsi="Arial" w:cs="Arial"/>
          <w:kern w:val="0"/>
          <w:sz w:val="24"/>
          <w:szCs w:val="24"/>
          <w14:ligatures w14:val="none"/>
        </w:rPr>
        <w:t xml:space="preserve"> post to the website, you'll need two separate accounts.  First is an account with the Injury Tracking Application website.  The other, new as of October 2022, you'll have to have an account at Login.gov, a secure website the federal government uses for many different applications.   You need to make sure you use the same email address for </w:t>
      </w:r>
      <w:proofErr w:type="gramStart"/>
      <w:r w:rsidRPr="00BD20A1">
        <w:rPr>
          <w:rFonts w:ascii="Arial" w:eastAsia="Times New Roman" w:hAnsi="Arial" w:cs="Arial"/>
          <w:kern w:val="0"/>
          <w:sz w:val="24"/>
          <w:szCs w:val="24"/>
          <w14:ligatures w14:val="none"/>
        </w:rPr>
        <w:t>both so</w:t>
      </w:r>
      <w:proofErr w:type="gramEnd"/>
      <w:r w:rsidRPr="00BD20A1">
        <w:rPr>
          <w:rFonts w:ascii="Arial" w:eastAsia="Times New Roman" w:hAnsi="Arial" w:cs="Arial"/>
          <w:kern w:val="0"/>
          <w:sz w:val="24"/>
          <w:szCs w:val="24"/>
          <w14:ligatures w14:val="none"/>
        </w:rPr>
        <w:t xml:space="preserve"> that the records can be connected.</w:t>
      </w:r>
    </w:p>
    <w:p w14:paraId="25A700E4"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Information can be manually uploaded, uploaded via a CSV file (available as a template from the OSHA ITA website), or transmit it electronically through an API.</w:t>
      </w:r>
    </w:p>
    <w:p w14:paraId="12D9F4C9"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If your company has multiple locations, or establishments as they are referred to, you need to report for each establishment, but can use the same ITA account to do it.  A third party can help do this for you, but accuracy and completeness of data is still your company's responsibility.</w:t>
      </w:r>
    </w:p>
    <w:p w14:paraId="4E908136"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Even if you have 0 recordables, you still need to report, and if you miss the March 2 deadline, you can still submit at any time of the year.  Just be aware you're not compliant until you do.  If you submit early and find out there was an injury last year that became recordable, they would like for you to update the information, but it's not required.</w:t>
      </w:r>
    </w:p>
    <w:p w14:paraId="18B9C551" w14:textId="77777777" w:rsidR="00BD20A1" w:rsidRPr="00BD20A1" w:rsidRDefault="00BD20A1" w:rsidP="00BD20A1">
      <w:pPr>
        <w:spacing w:before="100" w:beforeAutospacing="1" w:after="100" w:afterAutospacing="1"/>
        <w:outlineLvl w:val="3"/>
        <w:rPr>
          <w:rFonts w:ascii="Arial" w:eastAsia="Times New Roman" w:hAnsi="Arial" w:cs="Arial"/>
          <w:b/>
          <w:bCs/>
          <w:kern w:val="0"/>
          <w:sz w:val="24"/>
          <w:szCs w:val="24"/>
          <w14:ligatures w14:val="none"/>
        </w:rPr>
      </w:pPr>
      <w:r w:rsidRPr="00BD20A1">
        <w:rPr>
          <w:rFonts w:ascii="Arial" w:eastAsia="Times New Roman" w:hAnsi="Arial" w:cs="Arial"/>
          <w:b/>
          <w:bCs/>
          <w:color w:val="C10538"/>
          <w:kern w:val="0"/>
          <w:sz w:val="24"/>
          <w:szCs w:val="24"/>
          <w14:ligatures w14:val="none"/>
        </w:rPr>
        <w:t>What's Recordable, What's Not?</w:t>
      </w:r>
    </w:p>
    <w:p w14:paraId="29D37FF5"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 xml:space="preserve">If you have questions or need help in determining what's recordable and what's not, iSi can help.  We can advise on a case-by-case basis, and we have conducted presentations that cover some of the trickier examples that we can provide through our training program.  </w:t>
      </w:r>
      <w:hyperlink r:id="rId5" w:history="1">
        <w:r w:rsidRPr="00BD20A1">
          <w:rPr>
            <w:rFonts w:ascii="Arial" w:eastAsia="Times New Roman" w:hAnsi="Arial" w:cs="Arial"/>
            <w:color w:val="0000FF"/>
            <w:kern w:val="0"/>
            <w:sz w:val="24"/>
            <w:szCs w:val="24"/>
            <w:u w:val="single"/>
            <w14:ligatures w14:val="none"/>
          </w:rPr>
          <w:t>Contact us for pricing</w:t>
        </w:r>
      </w:hyperlink>
      <w:r w:rsidRPr="00BD20A1">
        <w:rPr>
          <w:rFonts w:ascii="Arial" w:eastAsia="Times New Roman" w:hAnsi="Arial" w:cs="Arial"/>
          <w:kern w:val="0"/>
          <w:sz w:val="24"/>
          <w:szCs w:val="24"/>
          <w14:ligatures w14:val="none"/>
        </w:rPr>
        <w:t xml:space="preserve"> on either of those.</w:t>
      </w:r>
    </w:p>
    <w:p w14:paraId="31E09114" w14:textId="77777777" w:rsidR="00BD20A1" w:rsidRPr="00BD20A1" w:rsidRDefault="00BD20A1" w:rsidP="00BD20A1">
      <w:pPr>
        <w:spacing w:before="100" w:beforeAutospacing="1" w:after="100" w:afterAutospacing="1"/>
        <w:outlineLvl w:val="3"/>
        <w:rPr>
          <w:rFonts w:ascii="Arial" w:eastAsia="Times New Roman" w:hAnsi="Arial" w:cs="Arial"/>
          <w:b/>
          <w:bCs/>
          <w:kern w:val="0"/>
          <w:sz w:val="24"/>
          <w:szCs w:val="24"/>
          <w14:ligatures w14:val="none"/>
        </w:rPr>
      </w:pPr>
      <w:r w:rsidRPr="00BD20A1">
        <w:rPr>
          <w:rFonts w:ascii="Arial" w:eastAsia="Times New Roman" w:hAnsi="Arial" w:cs="Arial"/>
          <w:b/>
          <w:bCs/>
          <w:color w:val="C10538"/>
          <w:kern w:val="0"/>
          <w:sz w:val="24"/>
          <w:szCs w:val="24"/>
          <w14:ligatures w14:val="none"/>
        </w:rPr>
        <w:lastRenderedPageBreak/>
        <w:t>Electronic Requirements - Summarized</w:t>
      </w:r>
    </w:p>
    <w:p w14:paraId="0F2A7327" w14:textId="77777777" w:rsidR="00BD20A1" w:rsidRPr="00BD20A1" w:rsidRDefault="00BD20A1" w:rsidP="00BD20A1">
      <w:pPr>
        <w:spacing w:before="100" w:beforeAutospacing="1" w:after="100" w:afterAutospacing="1"/>
        <w:rPr>
          <w:rFonts w:ascii="Arial" w:eastAsia="Times New Roman" w:hAnsi="Arial" w:cs="Arial"/>
          <w:kern w:val="0"/>
          <w:sz w:val="24"/>
          <w:szCs w:val="24"/>
          <w14:ligatures w14:val="none"/>
        </w:rPr>
      </w:pPr>
      <w:r w:rsidRPr="00BD20A1">
        <w:rPr>
          <w:rFonts w:ascii="Arial" w:eastAsia="Times New Roman" w:hAnsi="Arial" w:cs="Arial"/>
          <w:kern w:val="0"/>
          <w:sz w:val="24"/>
          <w:szCs w:val="24"/>
          <w14:ligatures w14:val="none"/>
        </w:rPr>
        <w:t>Below is a summarized table of requirements.  Are you required to submit OSHA electronic reports?  If you have questions, please contact us!</w:t>
      </w:r>
    </w:p>
    <w:p w14:paraId="523A269F" w14:textId="574383B5" w:rsidR="00B61334" w:rsidRPr="00BD20A1" w:rsidRDefault="00BD20A1">
      <w:pPr>
        <w:rPr>
          <w:rFonts w:ascii="Arial" w:hAnsi="Arial" w:cs="Arial"/>
        </w:rPr>
      </w:pPr>
      <w:r w:rsidRPr="00BD20A1">
        <w:rPr>
          <w:rFonts w:ascii="Arial" w:hAnsi="Arial" w:cs="Arial"/>
          <w:noProof/>
        </w:rPr>
        <w:drawing>
          <wp:inline distT="0" distB="0" distL="0" distR="0" wp14:anchorId="649CAED3" wp14:editId="69D19D13">
            <wp:extent cx="5943612" cy="564490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12" cy="5644907"/>
                    </a:xfrm>
                    <a:prstGeom prst="rect">
                      <a:avLst/>
                    </a:prstGeom>
                  </pic:spPr>
                </pic:pic>
              </a:graphicData>
            </a:graphic>
          </wp:inline>
        </w:drawing>
      </w:r>
    </w:p>
    <w:p w14:paraId="54209144" w14:textId="0071C7BB" w:rsidR="00BD20A1" w:rsidRPr="00BD20A1" w:rsidRDefault="00BD20A1">
      <w:pPr>
        <w:rPr>
          <w:rFonts w:ascii="Arial" w:hAnsi="Arial" w:cs="Arial"/>
        </w:rPr>
      </w:pPr>
    </w:p>
    <w:p w14:paraId="2808053C" w14:textId="106D033E" w:rsidR="00BD20A1" w:rsidRDefault="00BD20A1">
      <w:hyperlink r:id="rId7" w:history="1">
        <w:r w:rsidRPr="00BD20A1">
          <w:rPr>
            <w:rStyle w:val="Hyperlink"/>
            <w:rFonts w:ascii="Arial" w:hAnsi="Arial" w:cs="Arial"/>
          </w:rPr>
          <w:t>Click here for a list of NAICS Codes covered industries applicable to this regulation.</w:t>
        </w:r>
      </w:hyperlink>
    </w:p>
    <w:sectPr w:rsidR="00BD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A1"/>
    <w:rsid w:val="00B61334"/>
    <w:rsid w:val="00BD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C129"/>
  <w15:chartTrackingRefBased/>
  <w15:docId w15:val="{EED6E8FB-8441-4BCF-B017-43CD2C24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20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4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sienvironmental.com/wp-content/uploads/2017/07/Electronic_Recordkeeping_Compani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sienvironmental.com/pricing/" TargetMode="External"/><Relationship Id="rId4" Type="http://schemas.openxmlformats.org/officeDocument/2006/relationships/hyperlink" Target="https://www.osha.gov/recordkeeping/presentations/cover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2023-01-23T22:05:00Z</dcterms:created>
  <dcterms:modified xsi:type="dcterms:W3CDTF">2023-01-23T22:10:00Z</dcterms:modified>
</cp:coreProperties>
</file>