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D944" w14:textId="3031FA00" w:rsidR="00B61334" w:rsidRPr="006C7297" w:rsidRDefault="00E20EC4">
      <w:pPr>
        <w:rPr>
          <w:rFonts w:ascii="Arial" w:hAnsi="Arial" w:cs="Arial"/>
          <w:b/>
          <w:bCs/>
          <w:sz w:val="28"/>
          <w:szCs w:val="28"/>
        </w:rPr>
      </w:pPr>
      <w:r w:rsidRPr="006C7297">
        <w:rPr>
          <w:rFonts w:ascii="Arial" w:hAnsi="Arial" w:cs="Arial"/>
          <w:b/>
          <w:bCs/>
          <w:sz w:val="28"/>
          <w:szCs w:val="28"/>
        </w:rPr>
        <w:t>OSHA Memo to Affect Way Agency Issues Certain Penalties, With Potential for Significant Increases</w:t>
      </w:r>
    </w:p>
    <w:p w14:paraId="74604328" w14:textId="2BFD4148" w:rsidR="00E20EC4" w:rsidRPr="006C7297" w:rsidRDefault="00E20EC4">
      <w:pPr>
        <w:rPr>
          <w:rFonts w:ascii="Franklin Gothic Book" w:hAnsi="Franklin Gothic Book"/>
        </w:rPr>
      </w:pPr>
    </w:p>
    <w:p w14:paraId="2DBE226D" w14:textId="4B7CFF6F" w:rsidR="00E20EC4" w:rsidRPr="006C7297" w:rsidRDefault="00E20EC4">
      <w:p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OSHA’s Director of Enforcement and Director of Construction </w:t>
      </w:r>
      <w:r w:rsidR="000F303D" w:rsidRPr="006C7297">
        <w:rPr>
          <w:rFonts w:ascii="Franklin Gothic Book" w:hAnsi="Franklin Gothic Book"/>
        </w:rPr>
        <w:t xml:space="preserve">have </w:t>
      </w:r>
      <w:r w:rsidRPr="006C7297">
        <w:rPr>
          <w:rFonts w:ascii="Franklin Gothic Book" w:hAnsi="Franklin Gothic Book"/>
        </w:rPr>
        <w:t xml:space="preserve">joined together to issue two memos to its Regional Administrators and State Plan Designees to alert them </w:t>
      </w:r>
      <w:r w:rsidR="000F303D" w:rsidRPr="006C7297">
        <w:rPr>
          <w:rFonts w:ascii="Franklin Gothic Book" w:hAnsi="Franklin Gothic Book"/>
        </w:rPr>
        <w:t xml:space="preserve">on </w:t>
      </w:r>
      <w:r w:rsidRPr="006C7297">
        <w:rPr>
          <w:rFonts w:ascii="Franklin Gothic Book" w:hAnsi="Franklin Gothic Book"/>
        </w:rPr>
        <w:t xml:space="preserve">how to interpret penalties in certain cases.  </w:t>
      </w:r>
    </w:p>
    <w:p w14:paraId="5CEEF45F" w14:textId="77777777" w:rsidR="000F303D" w:rsidRPr="006C7297" w:rsidRDefault="000F303D" w:rsidP="000F303D">
      <w:pPr>
        <w:jc w:val="both"/>
        <w:rPr>
          <w:rFonts w:ascii="Franklin Gothic Book" w:hAnsi="Franklin Gothic Book"/>
        </w:rPr>
      </w:pPr>
    </w:p>
    <w:p w14:paraId="2917DA54" w14:textId="28D05F91" w:rsidR="000F303D" w:rsidRPr="006C7297" w:rsidRDefault="000F303D" w:rsidP="000F303D">
      <w:pPr>
        <w:jc w:val="both"/>
        <w:rPr>
          <w:rFonts w:ascii="Franklin Gothic Book" w:hAnsi="Franklin Gothic Book"/>
          <w:b/>
          <w:bCs/>
          <w:color w:val="C10538"/>
          <w:sz w:val="24"/>
          <w:szCs w:val="24"/>
        </w:rPr>
      </w:pPr>
      <w:r w:rsidRPr="006C7297">
        <w:rPr>
          <w:rFonts w:ascii="Franklin Gothic Book" w:hAnsi="Franklin Gothic Book"/>
          <w:b/>
          <w:bCs/>
          <w:color w:val="C10538"/>
          <w:sz w:val="24"/>
          <w:szCs w:val="24"/>
        </w:rPr>
        <w:t>Instance-by-Instance Citations</w:t>
      </w:r>
    </w:p>
    <w:p w14:paraId="131FA175" w14:textId="77777777" w:rsidR="000F303D" w:rsidRPr="006C7297" w:rsidRDefault="000F303D" w:rsidP="000F303D">
      <w:pPr>
        <w:jc w:val="both"/>
        <w:rPr>
          <w:rFonts w:ascii="Franklin Gothic Book" w:hAnsi="Franklin Gothic Book"/>
        </w:rPr>
      </w:pPr>
    </w:p>
    <w:p w14:paraId="490437F7" w14:textId="04ABDACF" w:rsidR="00E024A2" w:rsidRPr="006C7297" w:rsidRDefault="000F303D" w:rsidP="000F303D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First, the memo “</w:t>
      </w:r>
      <w:hyperlink r:id="rId5" w:history="1">
        <w:r w:rsidR="008627E7" w:rsidRPr="006C7297">
          <w:rPr>
            <w:rStyle w:val="Hyperlink"/>
            <w:rFonts w:ascii="Franklin Gothic Book" w:hAnsi="Franklin Gothic Book"/>
          </w:rPr>
          <w:t>Application of Instance-by-Instance Penalty Adjustments</w:t>
        </w:r>
      </w:hyperlink>
      <w:r w:rsidR="008627E7" w:rsidRPr="006C7297">
        <w:rPr>
          <w:rFonts w:ascii="Franklin Gothic Book" w:hAnsi="Franklin Gothic Book"/>
        </w:rPr>
        <w:t xml:space="preserve">” adds more circumstances in which these types of penalties can be charged.  </w:t>
      </w:r>
      <w:r w:rsidRPr="006C7297">
        <w:rPr>
          <w:rFonts w:ascii="Franklin Gothic Book" w:hAnsi="Franklin Gothic Book"/>
        </w:rPr>
        <w:t>Instance-by-Instance penal</w:t>
      </w:r>
      <w:r w:rsidR="008627E7" w:rsidRPr="006C7297">
        <w:rPr>
          <w:rFonts w:ascii="Franklin Gothic Book" w:hAnsi="Franklin Gothic Book"/>
        </w:rPr>
        <w:t xml:space="preserve">ties are </w:t>
      </w:r>
      <w:r w:rsidRPr="006C7297">
        <w:rPr>
          <w:rFonts w:ascii="Franklin Gothic Book" w:hAnsi="Franklin Gothic Book"/>
        </w:rPr>
        <w:t>fines for every single instance that the violation occurs, such as</w:t>
      </w:r>
      <w:r w:rsidR="00E024A2" w:rsidRPr="006C7297">
        <w:rPr>
          <w:rFonts w:ascii="Franklin Gothic Book" w:hAnsi="Franklin Gothic Book"/>
        </w:rPr>
        <w:t xml:space="preserve"> </w:t>
      </w:r>
      <w:r w:rsidR="00C3739A">
        <w:rPr>
          <w:rFonts w:ascii="Franklin Gothic Book" w:hAnsi="Franklin Gothic Book"/>
        </w:rPr>
        <w:t xml:space="preserve">penalties by </w:t>
      </w:r>
      <w:r w:rsidR="00E024A2" w:rsidRPr="006C7297">
        <w:rPr>
          <w:rFonts w:ascii="Franklin Gothic Book" w:hAnsi="Franklin Gothic Book"/>
        </w:rPr>
        <w:t xml:space="preserve">machine, by entry, by location, or by employee.  </w:t>
      </w:r>
    </w:p>
    <w:p w14:paraId="5E42BBD6" w14:textId="77777777" w:rsidR="00E024A2" w:rsidRPr="006C7297" w:rsidRDefault="00E024A2" w:rsidP="000F303D">
      <w:pPr>
        <w:jc w:val="both"/>
        <w:rPr>
          <w:rFonts w:ascii="Franklin Gothic Book" w:hAnsi="Franklin Gothic Book"/>
        </w:rPr>
      </w:pPr>
    </w:p>
    <w:p w14:paraId="35EFFDD1" w14:textId="27286AEA" w:rsidR="002B4533" w:rsidRPr="006C7297" w:rsidRDefault="00C3739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 memo says that </w:t>
      </w:r>
      <w:r w:rsidR="002B4533" w:rsidRPr="006C7297">
        <w:rPr>
          <w:rFonts w:ascii="Franklin Gothic Book" w:hAnsi="Franklin Gothic Book"/>
        </w:rPr>
        <w:t>h</w:t>
      </w:r>
      <w:r w:rsidR="008627E7" w:rsidRPr="006C7297">
        <w:rPr>
          <w:rFonts w:ascii="Franklin Gothic Book" w:hAnsi="Franklin Gothic Book"/>
        </w:rPr>
        <w:t xml:space="preserve">igh-gravity serious violations of the </w:t>
      </w:r>
      <w:r w:rsidR="002B4533" w:rsidRPr="006C7297">
        <w:rPr>
          <w:rFonts w:ascii="Franklin Gothic Book" w:hAnsi="Franklin Gothic Book"/>
        </w:rPr>
        <w:t>following standards can</w:t>
      </w:r>
      <w:r>
        <w:rPr>
          <w:rFonts w:ascii="Franklin Gothic Book" w:hAnsi="Franklin Gothic Book"/>
        </w:rPr>
        <w:t xml:space="preserve"> now</w:t>
      </w:r>
      <w:r w:rsidR="002B4533" w:rsidRPr="006C7297">
        <w:rPr>
          <w:rFonts w:ascii="Franklin Gothic Book" w:hAnsi="Franklin Gothic Book"/>
        </w:rPr>
        <w:t xml:space="preserve"> be subject to Instance-by-Instance penalties:</w:t>
      </w:r>
    </w:p>
    <w:p w14:paraId="518F633B" w14:textId="77777777" w:rsidR="002B4533" w:rsidRPr="006C7297" w:rsidRDefault="002B4533">
      <w:pPr>
        <w:rPr>
          <w:rFonts w:ascii="Franklin Gothic Book" w:hAnsi="Franklin Gothic Book"/>
        </w:rPr>
      </w:pPr>
    </w:p>
    <w:p w14:paraId="20029022" w14:textId="006C3701" w:rsidR="002B4533" w:rsidRPr="006C7297" w:rsidRDefault="002B4533" w:rsidP="002B4533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F</w:t>
      </w:r>
      <w:r w:rsidR="008627E7" w:rsidRPr="006C7297">
        <w:rPr>
          <w:rFonts w:ascii="Franklin Gothic Book" w:hAnsi="Franklin Gothic Book"/>
        </w:rPr>
        <w:t xml:space="preserve">all </w:t>
      </w:r>
      <w:r w:rsidRPr="006C7297">
        <w:rPr>
          <w:rFonts w:ascii="Franklin Gothic Book" w:hAnsi="Franklin Gothic Book"/>
        </w:rPr>
        <w:t>Protection</w:t>
      </w:r>
    </w:p>
    <w:p w14:paraId="7355E95B" w14:textId="2E785F5C" w:rsidR="002B4533" w:rsidRPr="006C7297" w:rsidRDefault="002B4533" w:rsidP="002B4533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T</w:t>
      </w:r>
      <w:r w:rsidR="008627E7" w:rsidRPr="006C7297">
        <w:rPr>
          <w:rFonts w:ascii="Franklin Gothic Book" w:hAnsi="Franklin Gothic Book"/>
        </w:rPr>
        <w:t>renching</w:t>
      </w:r>
    </w:p>
    <w:p w14:paraId="53865DA8" w14:textId="16D72DDB" w:rsidR="002B4533" w:rsidRPr="006C7297" w:rsidRDefault="002B4533" w:rsidP="002B4533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M</w:t>
      </w:r>
      <w:r w:rsidR="008627E7" w:rsidRPr="006C7297">
        <w:rPr>
          <w:rFonts w:ascii="Franklin Gothic Book" w:hAnsi="Franklin Gothic Book"/>
        </w:rPr>
        <w:t xml:space="preserve">achine </w:t>
      </w:r>
      <w:r w:rsidRPr="006C7297">
        <w:rPr>
          <w:rFonts w:ascii="Franklin Gothic Book" w:hAnsi="Franklin Gothic Book"/>
        </w:rPr>
        <w:t>Guarding</w:t>
      </w:r>
    </w:p>
    <w:p w14:paraId="437ABC77" w14:textId="77777777" w:rsidR="002B4533" w:rsidRPr="006C7297" w:rsidRDefault="002B4533" w:rsidP="002B4533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R</w:t>
      </w:r>
      <w:r w:rsidR="008627E7" w:rsidRPr="006C7297">
        <w:rPr>
          <w:rFonts w:ascii="Franklin Gothic Book" w:hAnsi="Franklin Gothic Book"/>
        </w:rPr>
        <w:t xml:space="preserve">espiratory </w:t>
      </w:r>
      <w:r w:rsidRPr="006C7297">
        <w:rPr>
          <w:rFonts w:ascii="Franklin Gothic Book" w:hAnsi="Franklin Gothic Book"/>
        </w:rPr>
        <w:t>Protection</w:t>
      </w:r>
    </w:p>
    <w:p w14:paraId="2B7B8AF0" w14:textId="195A97B5" w:rsidR="002B4533" w:rsidRPr="006C7297" w:rsidRDefault="002B4533" w:rsidP="002B4533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P</w:t>
      </w:r>
      <w:r w:rsidR="008627E7" w:rsidRPr="006C7297">
        <w:rPr>
          <w:rFonts w:ascii="Franklin Gothic Book" w:hAnsi="Franklin Gothic Book"/>
        </w:rPr>
        <w:t>ermit</w:t>
      </w:r>
      <w:r w:rsidRPr="006C7297">
        <w:rPr>
          <w:rFonts w:ascii="Franklin Gothic Book" w:hAnsi="Franklin Gothic Book"/>
        </w:rPr>
        <w:t>-Required Confined Spaces</w:t>
      </w:r>
    </w:p>
    <w:p w14:paraId="05274E84" w14:textId="1AAF76CD" w:rsidR="00C3739A" w:rsidRDefault="002B4533" w:rsidP="00C3739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L</w:t>
      </w:r>
      <w:r w:rsidR="008627E7" w:rsidRPr="006C7297">
        <w:rPr>
          <w:rFonts w:ascii="Franklin Gothic Book" w:hAnsi="Franklin Gothic Book"/>
        </w:rPr>
        <w:t>ockout</w:t>
      </w:r>
      <w:r w:rsidRPr="006C7297">
        <w:rPr>
          <w:rFonts w:ascii="Franklin Gothic Book" w:hAnsi="Franklin Gothic Book"/>
        </w:rPr>
        <w:t>/Tagout</w:t>
      </w:r>
    </w:p>
    <w:p w14:paraId="72FE2B43" w14:textId="77777777" w:rsidR="00C3739A" w:rsidRDefault="00C3739A" w:rsidP="00C3739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O</w:t>
      </w:r>
      <w:r w:rsidR="008627E7" w:rsidRPr="00C3739A">
        <w:rPr>
          <w:rFonts w:ascii="Franklin Gothic Book" w:hAnsi="Franklin Gothic Book"/>
        </w:rPr>
        <w:t>ther-than-serious violations of the recordkeeping standard</w:t>
      </w:r>
    </w:p>
    <w:p w14:paraId="45A7B7DA" w14:textId="77777777" w:rsidR="00C3739A" w:rsidRDefault="00C3739A" w:rsidP="00C3739A">
      <w:pPr>
        <w:rPr>
          <w:rFonts w:ascii="Franklin Gothic Book" w:hAnsi="Franklin Gothic Book"/>
        </w:rPr>
      </w:pPr>
    </w:p>
    <w:p w14:paraId="4C323587" w14:textId="1BA03E97" w:rsidR="00E20EC4" w:rsidRPr="00C3739A" w:rsidRDefault="005F05AD" w:rsidP="00C3739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Only those standards that have text which allows for violations of individualized duties rather than general course of conduct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can be used to find incident-by-incident penalties.  </w:t>
      </w:r>
      <w:r w:rsidR="00C3739A">
        <w:rPr>
          <w:rFonts w:ascii="Franklin Gothic Book" w:hAnsi="Franklin Gothic Book"/>
        </w:rPr>
        <w:t>F</w:t>
      </w:r>
      <w:r w:rsidR="002B4533" w:rsidRPr="00C3739A">
        <w:rPr>
          <w:rFonts w:ascii="Franklin Gothic Book" w:hAnsi="Franklin Gothic Book"/>
        </w:rPr>
        <w:t xml:space="preserve">or example, if machines are missing guards or </w:t>
      </w:r>
      <w:r>
        <w:rPr>
          <w:rFonts w:ascii="Franklin Gothic Book" w:hAnsi="Franklin Gothic Book"/>
        </w:rPr>
        <w:t xml:space="preserve">if employees do not put </w:t>
      </w:r>
      <w:r w:rsidR="002B4533" w:rsidRPr="00C3739A">
        <w:rPr>
          <w:rFonts w:ascii="Franklin Gothic Book" w:hAnsi="Franklin Gothic Book"/>
        </w:rPr>
        <w:t xml:space="preserve">lockout/tagout devices </w:t>
      </w:r>
      <w:r>
        <w:rPr>
          <w:rFonts w:ascii="Franklin Gothic Book" w:hAnsi="Franklin Gothic Book"/>
        </w:rPr>
        <w:t xml:space="preserve">on each energy isolating device, </w:t>
      </w:r>
      <w:r w:rsidR="002B4533" w:rsidRPr="00C3739A">
        <w:rPr>
          <w:rFonts w:ascii="Franklin Gothic Book" w:hAnsi="Franklin Gothic Book"/>
        </w:rPr>
        <w:t xml:space="preserve">you could be fined per </w:t>
      </w:r>
      <w:r>
        <w:rPr>
          <w:rFonts w:ascii="Franklin Gothic Book" w:hAnsi="Franklin Gothic Book"/>
        </w:rPr>
        <w:t>instance because they are needed on each machine.</w:t>
      </w:r>
    </w:p>
    <w:p w14:paraId="4D1B6379" w14:textId="2EC3F50C" w:rsidR="008627E7" w:rsidRPr="006C7297" w:rsidRDefault="008627E7">
      <w:pPr>
        <w:rPr>
          <w:rFonts w:ascii="Franklin Gothic Book" w:hAnsi="Franklin Gothic Book"/>
        </w:rPr>
      </w:pPr>
    </w:p>
    <w:p w14:paraId="2E9C89E7" w14:textId="462FEC2B" w:rsidR="008627E7" w:rsidRPr="006C7297" w:rsidRDefault="00C3739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Memo g</w:t>
      </w:r>
      <w:r w:rsidR="008627E7" w:rsidRPr="006C7297">
        <w:rPr>
          <w:rFonts w:ascii="Franklin Gothic Book" w:hAnsi="Franklin Gothic Book"/>
        </w:rPr>
        <w:t xml:space="preserve">uidance </w:t>
      </w:r>
      <w:r>
        <w:rPr>
          <w:rFonts w:ascii="Franklin Gothic Book" w:hAnsi="Franklin Gothic Book"/>
        </w:rPr>
        <w:t>sa</w:t>
      </w:r>
      <w:r w:rsidR="00C71653" w:rsidRPr="006C7297">
        <w:rPr>
          <w:rFonts w:ascii="Franklin Gothic Book" w:hAnsi="Franklin Gothic Book"/>
        </w:rPr>
        <w:t xml:space="preserve">ys </w:t>
      </w:r>
      <w:r>
        <w:rPr>
          <w:rFonts w:ascii="Franklin Gothic Book" w:hAnsi="Franklin Gothic Book"/>
        </w:rPr>
        <w:t>discretion can be used for I</w:t>
      </w:r>
      <w:r w:rsidR="00C71653" w:rsidRPr="006C7297">
        <w:rPr>
          <w:rFonts w:ascii="Franklin Gothic Book" w:hAnsi="Franklin Gothic Book"/>
        </w:rPr>
        <w:t xml:space="preserve">nstance-by-Instance </w:t>
      </w:r>
      <w:r>
        <w:rPr>
          <w:rFonts w:ascii="Franklin Gothic Book" w:hAnsi="Franklin Gothic Book"/>
        </w:rPr>
        <w:t xml:space="preserve">penalties </w:t>
      </w:r>
      <w:r w:rsidR="00C71653" w:rsidRPr="006C7297">
        <w:rPr>
          <w:rFonts w:ascii="Franklin Gothic Book" w:hAnsi="Franklin Gothic Book"/>
        </w:rPr>
        <w:t xml:space="preserve">when penalty adjustments don’t advance the deterrent goal.  </w:t>
      </w:r>
      <w:r w:rsidR="002B4533" w:rsidRPr="006C7297">
        <w:rPr>
          <w:rFonts w:ascii="Franklin Gothic Book" w:hAnsi="Franklin Gothic Book"/>
        </w:rPr>
        <w:t>The following factors are to be considered:</w:t>
      </w:r>
    </w:p>
    <w:p w14:paraId="018C3EBA" w14:textId="7C4F1EF6" w:rsidR="00C71653" w:rsidRPr="006C7297" w:rsidRDefault="00C71653">
      <w:pPr>
        <w:rPr>
          <w:rFonts w:ascii="Franklin Gothic Book" w:hAnsi="Franklin Gothic Book"/>
        </w:rPr>
      </w:pPr>
    </w:p>
    <w:p w14:paraId="76A7B062" w14:textId="1802A8B7" w:rsidR="00C71653" w:rsidRPr="006C7297" w:rsidRDefault="00C71653" w:rsidP="00E024A2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Willful, repeat, or failure to abate violations within the past five years where that classification is current;</w:t>
      </w:r>
    </w:p>
    <w:p w14:paraId="1A26A44E" w14:textId="1C5AE1CA" w:rsidR="00C71653" w:rsidRPr="006C7297" w:rsidRDefault="00C71653" w:rsidP="00E024A2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Failure to report a fatality, inpatient hospitalization, amputation, or loss of an eye;</w:t>
      </w:r>
    </w:p>
    <w:p w14:paraId="577A02C0" w14:textId="4AD5FAA5" w:rsidR="00C71653" w:rsidRPr="006C7297" w:rsidRDefault="00C71653" w:rsidP="00E024A2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The proposed citations are related to a fatality/catastrophe; or</w:t>
      </w:r>
    </w:p>
    <w:p w14:paraId="0263C8D2" w14:textId="37841A31" w:rsidR="00C71653" w:rsidRDefault="00C71653" w:rsidP="00E024A2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The proposed recordkeeping citations are related to injury or illness(es) that occurred </w:t>
      </w:r>
      <w:proofErr w:type="gramStart"/>
      <w:r w:rsidRPr="006C7297">
        <w:rPr>
          <w:rFonts w:ascii="Franklin Gothic Book" w:hAnsi="Franklin Gothic Book"/>
        </w:rPr>
        <w:t>as a result of</w:t>
      </w:r>
      <w:proofErr w:type="gramEnd"/>
      <w:r w:rsidRPr="006C7297">
        <w:rPr>
          <w:rFonts w:ascii="Franklin Gothic Book" w:hAnsi="Franklin Gothic Book"/>
        </w:rPr>
        <w:t xml:space="preserve"> a serious hazard.</w:t>
      </w:r>
    </w:p>
    <w:p w14:paraId="61EDAB35" w14:textId="09401D50" w:rsidR="00C3739A" w:rsidRDefault="00C3739A" w:rsidP="00C3739A">
      <w:pPr>
        <w:rPr>
          <w:rFonts w:ascii="Franklin Gothic Book" w:hAnsi="Franklin Gothic Book"/>
        </w:rPr>
      </w:pPr>
    </w:p>
    <w:p w14:paraId="7BB12DC5" w14:textId="09550576" w:rsidR="00C3739A" w:rsidRPr="00C3739A" w:rsidRDefault="00C3739A" w:rsidP="00C3739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Penalty evidence and justification must be </w:t>
      </w:r>
      <w:proofErr w:type="gramStart"/>
      <w:r>
        <w:rPr>
          <w:rFonts w:ascii="Franklin Gothic Book" w:hAnsi="Franklin Gothic Book"/>
        </w:rPr>
        <w:t>documented</w:t>
      </w:r>
      <w:proofErr w:type="gramEnd"/>
      <w:r>
        <w:rPr>
          <w:rFonts w:ascii="Franklin Gothic Book" w:hAnsi="Franklin Gothic Book"/>
        </w:rPr>
        <w:t xml:space="preserve"> and the Regional Office of the Solicitor must be consulted before these will be issued. </w:t>
      </w:r>
    </w:p>
    <w:p w14:paraId="68BD64E0" w14:textId="44D3C5E2" w:rsidR="00C71653" w:rsidRPr="006C7297" w:rsidRDefault="00C71653">
      <w:pPr>
        <w:rPr>
          <w:rFonts w:ascii="Franklin Gothic Book" w:hAnsi="Franklin Gothic Book"/>
        </w:rPr>
      </w:pPr>
    </w:p>
    <w:p w14:paraId="50FC36A6" w14:textId="01F41DBF" w:rsidR="00E20EC4" w:rsidRPr="006C7297" w:rsidRDefault="00E20EC4">
      <w:pPr>
        <w:rPr>
          <w:rFonts w:ascii="Franklin Gothic Book" w:hAnsi="Franklin Gothic Book"/>
          <w:b/>
          <w:bCs/>
          <w:color w:val="C10538"/>
          <w:sz w:val="24"/>
          <w:szCs w:val="24"/>
        </w:rPr>
      </w:pPr>
      <w:r w:rsidRPr="006C7297">
        <w:rPr>
          <w:rFonts w:ascii="Franklin Gothic Book" w:hAnsi="Franklin Gothic Book"/>
          <w:b/>
          <w:bCs/>
          <w:color w:val="C10538"/>
          <w:sz w:val="24"/>
          <w:szCs w:val="24"/>
        </w:rPr>
        <w:t>Grouping Penalties</w:t>
      </w:r>
    </w:p>
    <w:p w14:paraId="0D25D9B1" w14:textId="001D22B7" w:rsidR="00E20EC4" w:rsidRPr="006C7297" w:rsidRDefault="00E20EC4">
      <w:pPr>
        <w:rPr>
          <w:rFonts w:ascii="Franklin Gothic Book" w:hAnsi="Franklin Gothic Book"/>
        </w:rPr>
      </w:pPr>
    </w:p>
    <w:p w14:paraId="78C96E8E" w14:textId="1421EF72" w:rsidR="00E20EC4" w:rsidRPr="006C7297" w:rsidRDefault="002B4533" w:rsidP="00BF5E4C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Next</w:t>
      </w:r>
      <w:r w:rsidR="006B4916" w:rsidRPr="006C7297">
        <w:rPr>
          <w:rFonts w:ascii="Franklin Gothic Book" w:hAnsi="Franklin Gothic Book"/>
        </w:rPr>
        <w:t xml:space="preserve">, the memo </w:t>
      </w:r>
      <w:r w:rsidR="00E20EC4" w:rsidRPr="006C7297">
        <w:rPr>
          <w:rFonts w:ascii="Franklin Gothic Book" w:hAnsi="Franklin Gothic Book"/>
        </w:rPr>
        <w:t>“</w:t>
      </w:r>
      <w:hyperlink r:id="rId6" w:history="1">
        <w:r w:rsidR="00E20EC4" w:rsidRPr="006C7297">
          <w:rPr>
            <w:rStyle w:val="Hyperlink"/>
            <w:rFonts w:ascii="Franklin Gothic Book" w:hAnsi="Franklin Gothic Book"/>
          </w:rPr>
          <w:t>Exercising Discretion When Not to Group Violations</w:t>
        </w:r>
      </w:hyperlink>
      <w:r w:rsidR="00E20EC4" w:rsidRPr="006C7297">
        <w:rPr>
          <w:rFonts w:ascii="Franklin Gothic Book" w:hAnsi="Franklin Gothic Book"/>
        </w:rPr>
        <w:t>” remind</w:t>
      </w:r>
      <w:r w:rsidR="00BF5E4C" w:rsidRPr="006C7297">
        <w:rPr>
          <w:rFonts w:ascii="Franklin Gothic Book" w:hAnsi="Franklin Gothic Book"/>
        </w:rPr>
        <w:t>s</w:t>
      </w:r>
      <w:r w:rsidR="00E20EC4" w:rsidRPr="006C7297">
        <w:rPr>
          <w:rFonts w:ascii="Franklin Gothic Book" w:hAnsi="Franklin Gothic Book"/>
        </w:rPr>
        <w:t xml:space="preserve"> Regional Administrators and Area Directors that they have the discretion to NOT group violations </w:t>
      </w:r>
      <w:r w:rsidR="00BF5E4C" w:rsidRPr="006C7297">
        <w:rPr>
          <w:rFonts w:ascii="Franklin Gothic Book" w:hAnsi="Franklin Gothic Book"/>
        </w:rPr>
        <w:t xml:space="preserve">together </w:t>
      </w:r>
      <w:r w:rsidR="0077331B" w:rsidRPr="006C7297">
        <w:rPr>
          <w:rFonts w:ascii="Franklin Gothic Book" w:hAnsi="Franklin Gothic Book"/>
        </w:rPr>
        <w:t xml:space="preserve">in instances </w:t>
      </w:r>
      <w:r w:rsidR="00BF5E4C" w:rsidRPr="006C7297">
        <w:rPr>
          <w:rFonts w:ascii="Franklin Gothic Book" w:hAnsi="Franklin Gothic Book"/>
        </w:rPr>
        <w:t>where it could help</w:t>
      </w:r>
      <w:r w:rsidR="006B4916" w:rsidRPr="006C7297">
        <w:rPr>
          <w:rFonts w:ascii="Franklin Gothic Book" w:hAnsi="Franklin Gothic Book"/>
        </w:rPr>
        <w:t xml:space="preserve"> create a deterrent.  </w:t>
      </w:r>
      <w:r w:rsidR="00BF5E4C" w:rsidRPr="006C7297">
        <w:rPr>
          <w:rFonts w:ascii="Franklin Gothic Book" w:hAnsi="Franklin Gothic Book"/>
        </w:rPr>
        <w:t xml:space="preserve">Grouping is </w:t>
      </w:r>
      <w:r w:rsidR="0077331B" w:rsidRPr="006C7297">
        <w:rPr>
          <w:rFonts w:ascii="Franklin Gothic Book" w:hAnsi="Franklin Gothic Book"/>
        </w:rPr>
        <w:t xml:space="preserve">allowed </w:t>
      </w:r>
      <w:r w:rsidR="00BF5E4C" w:rsidRPr="006C7297">
        <w:rPr>
          <w:rFonts w:ascii="Franklin Gothic Book" w:hAnsi="Franklin Gothic Book"/>
        </w:rPr>
        <w:t>when:</w:t>
      </w:r>
    </w:p>
    <w:p w14:paraId="07DD53DA" w14:textId="50E675A3" w:rsidR="00BF5E4C" w:rsidRPr="006C7297" w:rsidRDefault="00BF5E4C" w:rsidP="00BF5E4C">
      <w:pPr>
        <w:jc w:val="both"/>
        <w:rPr>
          <w:rFonts w:ascii="Franklin Gothic Book" w:hAnsi="Franklin Gothic Book"/>
        </w:rPr>
      </w:pPr>
    </w:p>
    <w:p w14:paraId="59A5EB15" w14:textId="078C6CE2" w:rsidR="00BF5E4C" w:rsidRPr="006C7297" w:rsidRDefault="00752F3F" w:rsidP="00BF5E4C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lastRenderedPageBreak/>
        <w:t>Two or more s</w:t>
      </w:r>
      <w:r w:rsidR="00BF5E4C" w:rsidRPr="006C7297">
        <w:rPr>
          <w:rFonts w:ascii="Franklin Gothic Book" w:hAnsi="Franklin Gothic Book"/>
        </w:rPr>
        <w:t xml:space="preserve">erious or other-than-serious violations </w:t>
      </w:r>
      <w:r w:rsidRPr="006C7297">
        <w:rPr>
          <w:rFonts w:ascii="Franklin Gothic Book" w:hAnsi="Franklin Gothic Book"/>
        </w:rPr>
        <w:t xml:space="preserve">are so closely related they </w:t>
      </w:r>
      <w:r w:rsidR="00BF5E4C" w:rsidRPr="006C7297">
        <w:rPr>
          <w:rFonts w:ascii="Franklin Gothic Book" w:hAnsi="Franklin Gothic Book"/>
        </w:rPr>
        <w:t>constitute a single hazardous condition</w:t>
      </w:r>
      <w:r w:rsidRPr="006C7297">
        <w:rPr>
          <w:rFonts w:ascii="Franklin Gothic Book" w:hAnsi="Franklin Gothic Book"/>
        </w:rPr>
        <w:t xml:space="preserve"> (then they are grouped based on </w:t>
      </w:r>
      <w:r w:rsidR="00BF5E4C" w:rsidRPr="006C7297">
        <w:rPr>
          <w:rFonts w:ascii="Franklin Gothic Book" w:hAnsi="Franklin Gothic Book"/>
        </w:rPr>
        <w:t>the most serious item</w:t>
      </w:r>
      <w:r w:rsidRPr="006C7297">
        <w:rPr>
          <w:rFonts w:ascii="Franklin Gothic Book" w:hAnsi="Franklin Gothic Book"/>
        </w:rPr>
        <w:t>)</w:t>
      </w:r>
      <w:r w:rsidR="00BF5E4C" w:rsidRPr="006C7297">
        <w:rPr>
          <w:rFonts w:ascii="Franklin Gothic Book" w:hAnsi="Franklin Gothic Book"/>
        </w:rPr>
        <w:t>;</w:t>
      </w:r>
    </w:p>
    <w:p w14:paraId="4D3869B5" w14:textId="62F7130C" w:rsidR="00BF5E4C" w:rsidRPr="006C7297" w:rsidRDefault="00752F3F" w:rsidP="00752F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Two or more violations are found which, if considered individually, represent other-than-serious violations but together</w:t>
      </w:r>
      <w:r w:rsidR="00C3739A">
        <w:rPr>
          <w:rFonts w:ascii="Franklin Gothic Book" w:hAnsi="Franklin Gothic Book"/>
        </w:rPr>
        <w:t xml:space="preserve"> could</w:t>
      </w:r>
      <w:r w:rsidRPr="006C7297">
        <w:rPr>
          <w:rFonts w:ascii="Franklin Gothic Book" w:hAnsi="Franklin Gothic Book"/>
        </w:rPr>
        <w:t xml:space="preserve"> create a substantial probability of death or serious physical harm (then the violations are grouped as a serious violation); and,</w:t>
      </w:r>
    </w:p>
    <w:p w14:paraId="343BC4D5" w14:textId="101D4E8E" w:rsidR="00BF5E4C" w:rsidRPr="006C7297" w:rsidRDefault="00752F3F" w:rsidP="00BF5E4C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When several o</w:t>
      </w:r>
      <w:r w:rsidR="00BF5E4C" w:rsidRPr="006C7297">
        <w:rPr>
          <w:rFonts w:ascii="Franklin Gothic Book" w:hAnsi="Franklin Gothic Book"/>
        </w:rPr>
        <w:t>ther-than-serious violations</w:t>
      </w:r>
      <w:r w:rsidRPr="006C7297">
        <w:rPr>
          <w:rFonts w:ascii="Franklin Gothic Book" w:hAnsi="Franklin Gothic Book"/>
        </w:rPr>
        <w:t xml:space="preserve"> are found (then they are grouped to create a </w:t>
      </w:r>
      <w:r w:rsidR="00BF5E4C" w:rsidRPr="006C7297">
        <w:rPr>
          <w:rFonts w:ascii="Franklin Gothic Book" w:hAnsi="Franklin Gothic Book"/>
        </w:rPr>
        <w:t>high gravity other-than serious violation</w:t>
      </w:r>
      <w:r w:rsidRPr="006C7297">
        <w:rPr>
          <w:rFonts w:ascii="Franklin Gothic Book" w:hAnsi="Franklin Gothic Book"/>
        </w:rPr>
        <w:t>)</w:t>
      </w:r>
      <w:r w:rsidR="00BF5E4C" w:rsidRPr="006C7297">
        <w:rPr>
          <w:rFonts w:ascii="Franklin Gothic Book" w:hAnsi="Franklin Gothic Book"/>
        </w:rPr>
        <w:t>.</w:t>
      </w:r>
    </w:p>
    <w:p w14:paraId="1E7A256A" w14:textId="1F7E69F3" w:rsidR="00BF5E4C" w:rsidRPr="006C7297" w:rsidRDefault="00BF5E4C" w:rsidP="00BF5E4C">
      <w:pPr>
        <w:jc w:val="both"/>
        <w:rPr>
          <w:rFonts w:ascii="Franklin Gothic Book" w:hAnsi="Franklin Gothic Book"/>
        </w:rPr>
      </w:pPr>
    </w:p>
    <w:p w14:paraId="4FB34DB1" w14:textId="6B0405D9" w:rsidR="00BF5E4C" w:rsidRPr="006C7297" w:rsidRDefault="00BF5E4C" w:rsidP="00BF5E4C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The memo is reminding that </w:t>
      </w:r>
      <w:r w:rsidR="0077331B" w:rsidRPr="006C7297">
        <w:rPr>
          <w:rFonts w:ascii="Franklin Gothic Book" w:hAnsi="Franklin Gothic Book"/>
        </w:rPr>
        <w:t>violations</w:t>
      </w:r>
      <w:r w:rsidRPr="006C7297">
        <w:rPr>
          <w:rFonts w:ascii="Franklin Gothic Book" w:hAnsi="Franklin Gothic Book"/>
        </w:rPr>
        <w:t xml:space="preserve"> </w:t>
      </w:r>
      <w:r w:rsidR="0077331B" w:rsidRPr="006C7297">
        <w:rPr>
          <w:rFonts w:ascii="Franklin Gothic Book" w:hAnsi="Franklin Gothic Book"/>
        </w:rPr>
        <w:t xml:space="preserve">don’t have to be grouped </w:t>
      </w:r>
      <w:r w:rsidRPr="006C7297">
        <w:rPr>
          <w:rFonts w:ascii="Franklin Gothic Book" w:hAnsi="Franklin Gothic Book"/>
        </w:rPr>
        <w:t xml:space="preserve">if it doesn’t elevate </w:t>
      </w:r>
      <w:r w:rsidR="00752F3F" w:rsidRPr="006C7297">
        <w:rPr>
          <w:rFonts w:ascii="Franklin Gothic Book" w:hAnsi="Franklin Gothic Book"/>
        </w:rPr>
        <w:t>the gravity</w:t>
      </w:r>
      <w:r w:rsidR="009E41DE" w:rsidRPr="006C7297">
        <w:rPr>
          <w:rFonts w:ascii="Franklin Gothic Book" w:hAnsi="Franklin Gothic Book"/>
        </w:rPr>
        <w:t>/</w:t>
      </w:r>
      <w:r w:rsidR="00752F3F" w:rsidRPr="006C7297">
        <w:rPr>
          <w:rFonts w:ascii="Franklin Gothic Book" w:hAnsi="Franklin Gothic Book"/>
        </w:rPr>
        <w:t xml:space="preserve">classification of the citation </w:t>
      </w:r>
      <w:r w:rsidR="00C3739A">
        <w:rPr>
          <w:rFonts w:ascii="Franklin Gothic Book" w:hAnsi="Franklin Gothic Book"/>
        </w:rPr>
        <w:t xml:space="preserve">when </w:t>
      </w:r>
      <w:r w:rsidR="00752F3F" w:rsidRPr="006C7297">
        <w:rPr>
          <w:rFonts w:ascii="Franklin Gothic Book" w:hAnsi="Franklin Gothic Book"/>
        </w:rPr>
        <w:t xml:space="preserve">the evidence </w:t>
      </w:r>
      <w:r w:rsidR="009E41DE" w:rsidRPr="006C7297">
        <w:rPr>
          <w:rFonts w:ascii="Franklin Gothic Book" w:hAnsi="Franklin Gothic Book"/>
        </w:rPr>
        <w:t xml:space="preserve">could </w:t>
      </w:r>
      <w:r w:rsidR="00752F3F" w:rsidRPr="006C7297">
        <w:rPr>
          <w:rFonts w:ascii="Franklin Gothic Book" w:hAnsi="Franklin Gothic Book"/>
        </w:rPr>
        <w:t xml:space="preserve">allow for multiple citations.  That is, if </w:t>
      </w:r>
      <w:r w:rsidR="009E41DE" w:rsidRPr="006C7297">
        <w:rPr>
          <w:rFonts w:ascii="Franklin Gothic Book" w:hAnsi="Franklin Gothic Book"/>
        </w:rPr>
        <w:t>OSHA</w:t>
      </w:r>
      <w:r w:rsidR="00752F3F" w:rsidRPr="006C7297">
        <w:rPr>
          <w:rFonts w:ascii="Franklin Gothic Book" w:hAnsi="Franklin Gothic Book"/>
        </w:rPr>
        <w:t xml:space="preserve"> can find evidence that the violations could have different abatement methods, </w:t>
      </w:r>
      <w:r w:rsidR="0089267B" w:rsidRPr="006C7297">
        <w:rPr>
          <w:rFonts w:ascii="Franklin Gothic Book" w:hAnsi="Franklin Gothic Book"/>
        </w:rPr>
        <w:t>if each one could have resulted in death or serious harm, or if each violation condition could expose workers to different hazards, then they can charge each violation separately</w:t>
      </w:r>
      <w:r w:rsidR="0077331B" w:rsidRPr="006C7297">
        <w:rPr>
          <w:rFonts w:ascii="Franklin Gothic Book" w:hAnsi="Franklin Gothic Book"/>
        </w:rPr>
        <w:t xml:space="preserve"> without grouping</w:t>
      </w:r>
      <w:r w:rsidR="009E41DE" w:rsidRPr="006C7297">
        <w:rPr>
          <w:rFonts w:ascii="Franklin Gothic Book" w:hAnsi="Franklin Gothic Book"/>
        </w:rPr>
        <w:t xml:space="preserve"> them.  </w:t>
      </w:r>
      <w:r w:rsidR="0089267B" w:rsidRPr="006C7297">
        <w:rPr>
          <w:rFonts w:ascii="Franklin Gothic Book" w:hAnsi="Franklin Gothic Book"/>
        </w:rPr>
        <w:t xml:space="preserve"> </w:t>
      </w:r>
    </w:p>
    <w:p w14:paraId="0118E737" w14:textId="336ADB8F" w:rsidR="0077331B" w:rsidRPr="006C7297" w:rsidRDefault="0077331B" w:rsidP="00BF5E4C">
      <w:pPr>
        <w:jc w:val="both"/>
        <w:rPr>
          <w:rFonts w:ascii="Franklin Gothic Book" w:hAnsi="Franklin Gothic Book"/>
        </w:rPr>
      </w:pPr>
    </w:p>
    <w:p w14:paraId="0FC70B2F" w14:textId="2F8726AB" w:rsidR="0077331B" w:rsidRPr="006C7297" w:rsidRDefault="0077331B" w:rsidP="00BF5E4C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In addition, guidance in the OSHA Field Operations Manual says </w:t>
      </w:r>
      <w:r w:rsidR="00C3739A">
        <w:rPr>
          <w:rFonts w:ascii="Franklin Gothic Book" w:hAnsi="Franklin Gothic Book"/>
        </w:rPr>
        <w:t xml:space="preserve">violations are not to be grouped when: </w:t>
      </w:r>
      <w:r w:rsidRPr="006C7297">
        <w:rPr>
          <w:rFonts w:ascii="Franklin Gothic Book" w:hAnsi="Franklin Gothic Book"/>
        </w:rPr>
        <w:t xml:space="preserve"> </w:t>
      </w:r>
    </w:p>
    <w:p w14:paraId="6A3F0386" w14:textId="77777777" w:rsidR="0077331B" w:rsidRPr="006C7297" w:rsidRDefault="0077331B" w:rsidP="00BF5E4C">
      <w:pPr>
        <w:jc w:val="both"/>
        <w:rPr>
          <w:rFonts w:ascii="Franklin Gothic Book" w:hAnsi="Franklin Gothic Book"/>
        </w:rPr>
      </w:pPr>
    </w:p>
    <w:p w14:paraId="24C74792" w14:textId="6907846A" w:rsidR="0077331B" w:rsidRPr="006C7297" w:rsidRDefault="0077331B" w:rsidP="0077331B">
      <w:pPr>
        <w:pStyle w:val="ListParagraph"/>
        <w:numPr>
          <w:ilvl w:val="0"/>
          <w:numId w:val="2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Violations are found in separate inspections on more than one day;</w:t>
      </w:r>
    </w:p>
    <w:p w14:paraId="6E586E3C" w14:textId="004AAE2C" w:rsidR="0077331B" w:rsidRPr="006C7297" w:rsidRDefault="009E41DE" w:rsidP="0077331B">
      <w:pPr>
        <w:pStyle w:val="ListParagraph"/>
        <w:numPr>
          <w:ilvl w:val="0"/>
          <w:numId w:val="2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The same violations are found at multiple sites, but at </w:t>
      </w:r>
      <w:r w:rsidR="0077331B" w:rsidRPr="006C7297">
        <w:rPr>
          <w:rFonts w:ascii="Franklin Gothic Book" w:hAnsi="Franklin Gothic Book"/>
        </w:rPr>
        <w:t>different locations</w:t>
      </w:r>
      <w:r w:rsidRPr="006C7297">
        <w:rPr>
          <w:rFonts w:ascii="Franklin Gothic Book" w:hAnsi="Franklin Gothic Book"/>
        </w:rPr>
        <w:t xml:space="preserve">. If your company is inspected at different branches/locations/sites and you violate the same standard at each place, then you are fined separately at each place; </w:t>
      </w:r>
      <w:r w:rsidR="0077331B" w:rsidRPr="006C7297">
        <w:rPr>
          <w:rFonts w:ascii="Franklin Gothic Book" w:hAnsi="Franklin Gothic Book"/>
        </w:rPr>
        <w:t xml:space="preserve"> </w:t>
      </w:r>
    </w:p>
    <w:p w14:paraId="2FE6A845" w14:textId="77777777" w:rsidR="0077331B" w:rsidRPr="006C7297" w:rsidRDefault="0077331B" w:rsidP="0077331B">
      <w:pPr>
        <w:pStyle w:val="ListParagraph"/>
        <w:numPr>
          <w:ilvl w:val="0"/>
          <w:numId w:val="2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Separate sections of the General Duty Clause are violated.  Separate sections of the General Duty Clause cannot be grouped together, but a General Duty Clause section can be grouped with a related regulation; and,</w:t>
      </w:r>
    </w:p>
    <w:p w14:paraId="4B04805A" w14:textId="03C7E629" w:rsidR="009E41DE" w:rsidRPr="006C7297" w:rsidRDefault="0077331B" w:rsidP="0077331B">
      <w:pPr>
        <w:pStyle w:val="ListParagraph"/>
        <w:numPr>
          <w:ilvl w:val="0"/>
          <w:numId w:val="2"/>
        </w:num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Violations are </w:t>
      </w:r>
      <w:r w:rsidR="009E41DE" w:rsidRPr="006C7297">
        <w:rPr>
          <w:rFonts w:ascii="Franklin Gothic Book" w:hAnsi="Franklin Gothic Book"/>
        </w:rPr>
        <w:t xml:space="preserve">so </w:t>
      </w:r>
      <w:r w:rsidRPr="006C7297">
        <w:rPr>
          <w:rFonts w:ascii="Franklin Gothic Book" w:hAnsi="Franklin Gothic Book"/>
        </w:rPr>
        <w:t>egregious</w:t>
      </w:r>
      <w:r w:rsidR="009E41DE" w:rsidRPr="006C7297">
        <w:rPr>
          <w:rFonts w:ascii="Franklin Gothic Book" w:hAnsi="Franklin Gothic Book"/>
        </w:rPr>
        <w:t xml:space="preserve"> that they trigger OSHA’s </w:t>
      </w:r>
      <w:r w:rsidRPr="006C7297">
        <w:rPr>
          <w:rFonts w:ascii="Franklin Gothic Book" w:hAnsi="Franklin Gothic Book"/>
        </w:rPr>
        <w:t>Instance</w:t>
      </w:r>
      <w:r w:rsidR="000F303D" w:rsidRPr="006C7297">
        <w:rPr>
          <w:rFonts w:ascii="Franklin Gothic Book" w:hAnsi="Franklin Gothic Book"/>
        </w:rPr>
        <w:t>-</w:t>
      </w:r>
      <w:r w:rsidRPr="006C7297">
        <w:rPr>
          <w:rFonts w:ascii="Franklin Gothic Book" w:hAnsi="Franklin Gothic Book"/>
        </w:rPr>
        <w:t>by</w:t>
      </w:r>
      <w:r w:rsidR="000F303D" w:rsidRPr="006C7297">
        <w:rPr>
          <w:rFonts w:ascii="Franklin Gothic Book" w:hAnsi="Franklin Gothic Book"/>
        </w:rPr>
        <w:t>-</w:t>
      </w:r>
      <w:r w:rsidRPr="006C7297">
        <w:rPr>
          <w:rFonts w:ascii="Franklin Gothic Book" w:hAnsi="Franklin Gothic Book"/>
        </w:rPr>
        <w:t>Instance Penalties</w:t>
      </w:r>
      <w:r w:rsidR="009E41DE" w:rsidRPr="006C7297">
        <w:rPr>
          <w:rFonts w:ascii="Franklin Gothic Book" w:hAnsi="Franklin Gothic Book"/>
        </w:rPr>
        <w:t>.</w:t>
      </w:r>
    </w:p>
    <w:p w14:paraId="6D5FC348" w14:textId="77777777" w:rsidR="009E41DE" w:rsidRPr="006C7297" w:rsidRDefault="009E41DE" w:rsidP="009E41DE">
      <w:pPr>
        <w:jc w:val="both"/>
        <w:rPr>
          <w:rFonts w:ascii="Franklin Gothic Book" w:hAnsi="Franklin Gothic Book"/>
        </w:rPr>
      </w:pPr>
    </w:p>
    <w:p w14:paraId="156015F3" w14:textId="5E2BDC54" w:rsidR="000F303D" w:rsidRPr="006C7297" w:rsidRDefault="002B4533">
      <w:pPr>
        <w:jc w:val="both"/>
        <w:rPr>
          <w:rFonts w:ascii="Franklin Gothic Book" w:hAnsi="Franklin Gothic Book"/>
          <w:b/>
          <w:bCs/>
          <w:color w:val="C10538"/>
          <w:sz w:val="24"/>
          <w:szCs w:val="24"/>
        </w:rPr>
      </w:pPr>
      <w:r w:rsidRPr="006C7297">
        <w:rPr>
          <w:rFonts w:ascii="Franklin Gothic Book" w:hAnsi="Franklin Gothic Book"/>
          <w:b/>
          <w:bCs/>
          <w:color w:val="C10538"/>
          <w:sz w:val="24"/>
          <w:szCs w:val="24"/>
        </w:rPr>
        <w:t xml:space="preserve">OSHA Fines </w:t>
      </w:r>
      <w:r w:rsidR="00DC365B" w:rsidRPr="006C7297">
        <w:rPr>
          <w:rFonts w:ascii="Franklin Gothic Book" w:hAnsi="Franklin Gothic Book"/>
          <w:b/>
          <w:bCs/>
          <w:color w:val="C10538"/>
          <w:sz w:val="24"/>
          <w:szCs w:val="24"/>
        </w:rPr>
        <w:t>Increased</w:t>
      </w:r>
    </w:p>
    <w:p w14:paraId="2BCCC1AA" w14:textId="692E73BE" w:rsidR="002B4533" w:rsidRPr="006C7297" w:rsidRDefault="002B4533">
      <w:pPr>
        <w:jc w:val="both"/>
        <w:rPr>
          <w:rFonts w:ascii="Franklin Gothic Book" w:hAnsi="Franklin Gothic Book"/>
        </w:rPr>
      </w:pPr>
    </w:p>
    <w:p w14:paraId="361B29D3" w14:textId="5EBB4409" w:rsidR="002B4533" w:rsidRPr="006C7297" w:rsidRDefault="002B4533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>Dollar amounts on OSHA fines also were increased at the beginning of the year.  The maximum penalty amounts in 2023 are $15,625 per violation for serious, other-than-serious, posting requirement, and failure to abate violations, and $156,259 per violation for willful and repeat violations. This is an increase in 7.5%, which is the biggest year to year increase since 2016.</w:t>
      </w:r>
    </w:p>
    <w:p w14:paraId="512DE742" w14:textId="690DAE95" w:rsidR="00DC365B" w:rsidRPr="006C7297" w:rsidRDefault="00DC365B">
      <w:pPr>
        <w:jc w:val="both"/>
        <w:rPr>
          <w:rFonts w:ascii="Franklin Gothic Book" w:hAnsi="Franklin Gothic Book"/>
        </w:rPr>
      </w:pPr>
    </w:p>
    <w:p w14:paraId="4CEF81A4" w14:textId="61F64A00" w:rsidR="00DC365B" w:rsidRPr="006C7297" w:rsidRDefault="00DC365B">
      <w:pPr>
        <w:jc w:val="both"/>
        <w:rPr>
          <w:rFonts w:ascii="Franklin Gothic Book" w:hAnsi="Franklin Gothic Book"/>
          <w:b/>
          <w:bCs/>
          <w:color w:val="C10538"/>
          <w:sz w:val="24"/>
          <w:szCs w:val="24"/>
        </w:rPr>
      </w:pPr>
      <w:r w:rsidRPr="006C7297">
        <w:rPr>
          <w:rFonts w:ascii="Franklin Gothic Book" w:hAnsi="Franklin Gothic Book"/>
          <w:b/>
          <w:bCs/>
          <w:color w:val="C10538"/>
          <w:sz w:val="24"/>
          <w:szCs w:val="24"/>
        </w:rPr>
        <w:t>Do You Know Where You Stand?</w:t>
      </w:r>
    </w:p>
    <w:p w14:paraId="4081D83D" w14:textId="505167C3" w:rsidR="00DC365B" w:rsidRPr="006C7297" w:rsidRDefault="00DC365B">
      <w:pPr>
        <w:jc w:val="both"/>
        <w:rPr>
          <w:rFonts w:ascii="Franklin Gothic Book" w:hAnsi="Franklin Gothic Book"/>
        </w:rPr>
      </w:pPr>
    </w:p>
    <w:p w14:paraId="5E06883E" w14:textId="718F5A13" w:rsidR="00DC365B" w:rsidRPr="006C7297" w:rsidRDefault="00DC365B">
      <w:pPr>
        <w:jc w:val="both"/>
        <w:rPr>
          <w:rFonts w:ascii="Franklin Gothic Book" w:hAnsi="Franklin Gothic Book"/>
        </w:rPr>
      </w:pPr>
      <w:r w:rsidRPr="006C7297">
        <w:rPr>
          <w:rFonts w:ascii="Franklin Gothic Book" w:hAnsi="Franklin Gothic Book"/>
        </w:rPr>
        <w:t xml:space="preserve">iSi’s safety audit team can help you determine where you stand on compliance with OSHA regulations and provide a </w:t>
      </w:r>
      <w:r w:rsidR="006C7297" w:rsidRPr="006C7297">
        <w:rPr>
          <w:rFonts w:ascii="Franklin Gothic Book" w:hAnsi="Franklin Gothic Book"/>
        </w:rPr>
        <w:t xml:space="preserve">prioritized list of findings.  </w:t>
      </w:r>
      <w:hyperlink r:id="rId7" w:history="1">
        <w:r w:rsidR="006C7297" w:rsidRPr="006C7297">
          <w:rPr>
            <w:rStyle w:val="Hyperlink"/>
            <w:rFonts w:ascii="Franklin Gothic Book" w:hAnsi="Franklin Gothic Book"/>
          </w:rPr>
          <w:t>Contact us today</w:t>
        </w:r>
      </w:hyperlink>
      <w:r w:rsidR="006C7297" w:rsidRPr="006C7297">
        <w:rPr>
          <w:rFonts w:ascii="Franklin Gothic Book" w:hAnsi="Franklin Gothic Book"/>
        </w:rPr>
        <w:t xml:space="preserve"> to learn more about our audits!</w:t>
      </w:r>
    </w:p>
    <w:sectPr w:rsidR="00DC365B" w:rsidRPr="006C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021"/>
    <w:multiLevelType w:val="hybridMultilevel"/>
    <w:tmpl w:val="56F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69B4"/>
    <w:multiLevelType w:val="hybridMultilevel"/>
    <w:tmpl w:val="DD2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212"/>
    <w:multiLevelType w:val="hybridMultilevel"/>
    <w:tmpl w:val="C464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48EB"/>
    <w:multiLevelType w:val="hybridMultilevel"/>
    <w:tmpl w:val="43F8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81711">
    <w:abstractNumId w:val="2"/>
  </w:num>
  <w:num w:numId="2" w16cid:durableId="931400247">
    <w:abstractNumId w:val="1"/>
  </w:num>
  <w:num w:numId="3" w16cid:durableId="2016808766">
    <w:abstractNumId w:val="0"/>
  </w:num>
  <w:num w:numId="4" w16cid:durableId="1456749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C4"/>
    <w:rsid w:val="000F303D"/>
    <w:rsid w:val="00131ACD"/>
    <w:rsid w:val="002B4533"/>
    <w:rsid w:val="005F05AD"/>
    <w:rsid w:val="006B4916"/>
    <w:rsid w:val="006C7297"/>
    <w:rsid w:val="00752F3F"/>
    <w:rsid w:val="0077331B"/>
    <w:rsid w:val="008627E7"/>
    <w:rsid w:val="0089267B"/>
    <w:rsid w:val="009E41DE"/>
    <w:rsid w:val="00B61334"/>
    <w:rsid w:val="00BF5E4C"/>
    <w:rsid w:val="00C3739A"/>
    <w:rsid w:val="00C71653"/>
    <w:rsid w:val="00DC365B"/>
    <w:rsid w:val="00E024A2"/>
    <w:rsid w:val="00E2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BBCA"/>
  <w15:chartTrackingRefBased/>
  <w15:docId w15:val="{FC7CE057-AD44-4F85-BD7E-A38F2D89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ienvironmental.com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ha.gov/memos/2023-01-26/exercising-discretion-when-not-to-group-violations" TargetMode="External"/><Relationship Id="rId5" Type="http://schemas.openxmlformats.org/officeDocument/2006/relationships/hyperlink" Target="https://www.osha.gov/memos/2023-01-26/application-of-instance-by-instance-penalty-adjust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2023-03-30T00:08:00Z</dcterms:created>
  <dcterms:modified xsi:type="dcterms:W3CDTF">2023-03-30T00:08:00Z</dcterms:modified>
</cp:coreProperties>
</file>