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052D9" w14:textId="77777777" w:rsidR="00477205" w:rsidRPr="00477205" w:rsidRDefault="00350D79" w:rsidP="00500A00">
      <w:pPr>
        <w:spacing w:after="0" w:line="240" w:lineRule="auto"/>
        <w:jc w:val="both"/>
        <w:rPr>
          <w:b/>
          <w:sz w:val="36"/>
          <w:szCs w:val="24"/>
        </w:rPr>
      </w:pPr>
      <w:r>
        <w:rPr>
          <w:b/>
          <w:sz w:val="36"/>
          <w:szCs w:val="24"/>
        </w:rPr>
        <w:t xml:space="preserve">5 Ways </w:t>
      </w:r>
      <w:r w:rsidR="00477205" w:rsidRPr="00477205">
        <w:rPr>
          <w:b/>
          <w:sz w:val="36"/>
          <w:szCs w:val="24"/>
        </w:rPr>
        <w:t xml:space="preserve">OSHA’s Top 10 </w:t>
      </w:r>
      <w:r>
        <w:rPr>
          <w:b/>
          <w:sz w:val="36"/>
          <w:szCs w:val="24"/>
        </w:rPr>
        <w:t xml:space="preserve">Can </w:t>
      </w:r>
      <w:r w:rsidR="00477205" w:rsidRPr="00477205">
        <w:rPr>
          <w:b/>
          <w:sz w:val="36"/>
          <w:szCs w:val="24"/>
        </w:rPr>
        <w:t>Make Your Safety Job Easier</w:t>
      </w:r>
    </w:p>
    <w:p w14:paraId="69974C56" w14:textId="77777777" w:rsidR="00477205" w:rsidRPr="00477205" w:rsidRDefault="00477205" w:rsidP="00500A00">
      <w:pPr>
        <w:spacing w:after="0" w:line="240" w:lineRule="auto"/>
        <w:jc w:val="both"/>
        <w:rPr>
          <w:i/>
          <w:sz w:val="28"/>
          <w:szCs w:val="24"/>
        </w:rPr>
      </w:pPr>
      <w:bookmarkStart w:id="0" w:name="_GoBack"/>
      <w:r w:rsidRPr="00477205">
        <w:rPr>
          <w:i/>
          <w:sz w:val="28"/>
          <w:szCs w:val="24"/>
        </w:rPr>
        <w:t xml:space="preserve">Getting Value </w:t>
      </w:r>
      <w:r w:rsidR="0038606D">
        <w:rPr>
          <w:i/>
          <w:sz w:val="28"/>
          <w:szCs w:val="24"/>
        </w:rPr>
        <w:t>Out of</w:t>
      </w:r>
      <w:r w:rsidRPr="00477205">
        <w:rPr>
          <w:i/>
          <w:sz w:val="28"/>
          <w:szCs w:val="24"/>
        </w:rPr>
        <w:t xml:space="preserve"> the “Same Ol’ List”</w:t>
      </w:r>
    </w:p>
    <w:bookmarkEnd w:id="0"/>
    <w:p w14:paraId="6C586298" w14:textId="77777777" w:rsidR="00477205" w:rsidRDefault="00477205" w:rsidP="00500A00">
      <w:pPr>
        <w:spacing w:after="0" w:line="240" w:lineRule="auto"/>
        <w:jc w:val="both"/>
        <w:rPr>
          <w:sz w:val="24"/>
          <w:szCs w:val="24"/>
        </w:rPr>
      </w:pPr>
    </w:p>
    <w:p w14:paraId="15CB5BE1" w14:textId="77777777" w:rsidR="001E681A" w:rsidRPr="0038606D" w:rsidRDefault="00500A00" w:rsidP="00500A00">
      <w:pPr>
        <w:spacing w:after="0" w:line="240" w:lineRule="auto"/>
        <w:jc w:val="both"/>
      </w:pPr>
      <w:r w:rsidRPr="0038606D">
        <w:t xml:space="preserve">The yearly announcement of OSHA’s Top 10 violations came out.  So what!  The top 5 violations have not changed in 4 years and most of the time it’s the same </w:t>
      </w:r>
      <w:r w:rsidR="00CE175C" w:rsidRPr="0038606D">
        <w:t>violations</w:t>
      </w:r>
      <w:r w:rsidRPr="0038606D">
        <w:t xml:space="preserve"> </w:t>
      </w:r>
      <w:r w:rsidR="00CE175C" w:rsidRPr="0038606D">
        <w:t>with the order s</w:t>
      </w:r>
      <w:r w:rsidRPr="0038606D">
        <w:t>witched around.  The only “exciting</w:t>
      </w:r>
      <w:r w:rsidR="007C1D3A" w:rsidRPr="0038606D">
        <w:t>”</w:t>
      </w:r>
      <w:r w:rsidRPr="0038606D">
        <w:t xml:space="preserve"> </w:t>
      </w:r>
      <w:r w:rsidR="007C1D3A" w:rsidRPr="0038606D">
        <w:t>p</w:t>
      </w:r>
      <w:r w:rsidRPr="0038606D">
        <w:t xml:space="preserve">art is to </w:t>
      </w:r>
      <w:r w:rsidR="007C1D3A" w:rsidRPr="0038606D">
        <w:t>see</w:t>
      </w:r>
      <w:r w:rsidRPr="0038606D">
        <w:t xml:space="preserve"> if </w:t>
      </w:r>
      <w:r w:rsidR="00CB6538" w:rsidRPr="0038606D">
        <w:t>a</w:t>
      </w:r>
      <w:r w:rsidRPr="0038606D">
        <w:t xml:space="preserve"> newcomer violation got on list.  Well as un-newsworthy as this is, </w:t>
      </w:r>
      <w:r w:rsidR="00CB6538" w:rsidRPr="0038606D">
        <w:t>the annual confi</w:t>
      </w:r>
      <w:r w:rsidRPr="0038606D">
        <w:t xml:space="preserve">rmation </w:t>
      </w:r>
      <w:r w:rsidR="00CB6538" w:rsidRPr="0038606D">
        <w:t xml:space="preserve">can actually </w:t>
      </w:r>
      <w:r w:rsidRPr="0038606D">
        <w:t>make your job easier.</w:t>
      </w:r>
    </w:p>
    <w:p w14:paraId="3590878D" w14:textId="77777777" w:rsidR="00CE175C" w:rsidRPr="0038606D" w:rsidRDefault="00CE175C" w:rsidP="00500A00">
      <w:pPr>
        <w:spacing w:after="0" w:line="240" w:lineRule="auto"/>
        <w:jc w:val="both"/>
      </w:pPr>
    </w:p>
    <w:p w14:paraId="04AD0AA3" w14:textId="77777777" w:rsidR="00CE175C" w:rsidRPr="0038606D" w:rsidRDefault="00CE175C" w:rsidP="00500A00">
      <w:pPr>
        <w:spacing w:after="0" w:line="240" w:lineRule="auto"/>
        <w:jc w:val="both"/>
        <w:rPr>
          <w:b/>
        </w:rPr>
      </w:pPr>
      <w:r w:rsidRPr="0038606D">
        <w:rPr>
          <w:b/>
        </w:rPr>
        <w:t>What’s on the List?</w:t>
      </w:r>
    </w:p>
    <w:p w14:paraId="7D7DBD98" w14:textId="77777777" w:rsidR="005543D5" w:rsidRPr="0038606D" w:rsidRDefault="005543D5" w:rsidP="005543D5">
      <w:pPr>
        <w:spacing w:after="0" w:line="240" w:lineRule="auto"/>
        <w:jc w:val="both"/>
      </w:pPr>
    </w:p>
    <w:p w14:paraId="5BDF5AC4" w14:textId="77777777" w:rsidR="005543D5" w:rsidRPr="0038606D" w:rsidRDefault="005543D5" w:rsidP="005543D5">
      <w:pPr>
        <w:spacing w:after="0" w:line="240" w:lineRule="auto"/>
        <w:jc w:val="both"/>
      </w:pPr>
      <w:r w:rsidRPr="0038606D">
        <w:t xml:space="preserve">Below is a list of the Top 10 </w:t>
      </w:r>
      <w:r w:rsidR="007C1D3A" w:rsidRPr="0038606D">
        <w:t xml:space="preserve">OSHA </w:t>
      </w:r>
      <w:r w:rsidRPr="0038606D">
        <w:t>Violations for 2018 (</w:t>
      </w:r>
      <w:r w:rsidRPr="0038606D">
        <w:rPr>
          <w:i/>
        </w:rPr>
        <w:t>through September 30, 2018</w:t>
      </w:r>
      <w:r w:rsidRPr="0038606D">
        <w:t>)</w:t>
      </w:r>
    </w:p>
    <w:p w14:paraId="22A9F66F" w14:textId="77777777" w:rsidR="00CE175C" w:rsidRPr="0038606D" w:rsidRDefault="00CE175C" w:rsidP="00500A00">
      <w:pPr>
        <w:spacing w:after="0" w:line="240" w:lineRule="auto"/>
        <w:jc w:val="both"/>
      </w:pPr>
    </w:p>
    <w:p w14:paraId="6D5FC302" w14:textId="77777777" w:rsidR="00CE175C" w:rsidRPr="0038606D" w:rsidRDefault="00CE175C" w:rsidP="00CE175C">
      <w:pPr>
        <w:pStyle w:val="ListParagraph"/>
        <w:numPr>
          <w:ilvl w:val="0"/>
          <w:numId w:val="1"/>
        </w:numPr>
        <w:spacing w:after="0" w:line="240" w:lineRule="auto"/>
        <w:jc w:val="both"/>
      </w:pPr>
      <w:r w:rsidRPr="0038606D">
        <w:t>Fall Protection – General Requirements (1926.501): 7,270 violations</w:t>
      </w:r>
    </w:p>
    <w:p w14:paraId="0DC916E5" w14:textId="77777777" w:rsidR="00CE175C" w:rsidRPr="0038606D" w:rsidRDefault="00CE175C" w:rsidP="00CE175C">
      <w:pPr>
        <w:pStyle w:val="ListParagraph"/>
        <w:numPr>
          <w:ilvl w:val="0"/>
          <w:numId w:val="1"/>
        </w:numPr>
        <w:spacing w:after="0" w:line="240" w:lineRule="auto"/>
        <w:jc w:val="both"/>
      </w:pPr>
      <w:r w:rsidRPr="0038606D">
        <w:t>Hazard Communication (1910.1200): 4,552</w:t>
      </w:r>
    </w:p>
    <w:p w14:paraId="768009B5" w14:textId="77777777" w:rsidR="00CE175C" w:rsidRPr="0038606D" w:rsidRDefault="00CE175C" w:rsidP="00CE175C">
      <w:pPr>
        <w:pStyle w:val="ListParagraph"/>
        <w:numPr>
          <w:ilvl w:val="0"/>
          <w:numId w:val="1"/>
        </w:numPr>
        <w:spacing w:after="0" w:line="240" w:lineRule="auto"/>
        <w:jc w:val="both"/>
      </w:pPr>
      <w:r w:rsidRPr="0038606D">
        <w:t>Scaffolding (1926.451): 3,336</w:t>
      </w:r>
    </w:p>
    <w:p w14:paraId="29015FA3" w14:textId="77777777" w:rsidR="00CE175C" w:rsidRPr="0038606D" w:rsidRDefault="00CE175C" w:rsidP="00CE175C">
      <w:pPr>
        <w:pStyle w:val="ListParagraph"/>
        <w:numPr>
          <w:ilvl w:val="0"/>
          <w:numId w:val="1"/>
        </w:numPr>
        <w:spacing w:after="0" w:line="240" w:lineRule="auto"/>
        <w:jc w:val="both"/>
      </w:pPr>
      <w:r w:rsidRPr="0038606D">
        <w:t>Respiratory Protection (1910.134): 3,118</w:t>
      </w:r>
    </w:p>
    <w:p w14:paraId="34BEC5DC" w14:textId="77777777" w:rsidR="00CE175C" w:rsidRPr="0038606D" w:rsidRDefault="00CE175C" w:rsidP="00CE175C">
      <w:pPr>
        <w:pStyle w:val="ListParagraph"/>
        <w:numPr>
          <w:ilvl w:val="0"/>
          <w:numId w:val="1"/>
        </w:numPr>
        <w:spacing w:after="0" w:line="240" w:lineRule="auto"/>
        <w:jc w:val="both"/>
      </w:pPr>
      <w:r w:rsidRPr="0038606D">
        <w:t>Lockout/Tagout (1910.147): 2,944</w:t>
      </w:r>
    </w:p>
    <w:p w14:paraId="15B95401" w14:textId="77777777" w:rsidR="00CE175C" w:rsidRPr="0038606D" w:rsidRDefault="00CE175C" w:rsidP="00CE175C">
      <w:pPr>
        <w:pStyle w:val="ListParagraph"/>
        <w:numPr>
          <w:ilvl w:val="0"/>
          <w:numId w:val="1"/>
        </w:numPr>
        <w:spacing w:after="0" w:line="240" w:lineRule="auto"/>
        <w:jc w:val="both"/>
      </w:pPr>
      <w:r w:rsidRPr="0038606D">
        <w:t>Ladders (1926.1053): 2,812</w:t>
      </w:r>
    </w:p>
    <w:p w14:paraId="01D85DFE" w14:textId="77777777" w:rsidR="00CE175C" w:rsidRPr="0038606D" w:rsidRDefault="00CE175C" w:rsidP="00CE175C">
      <w:pPr>
        <w:pStyle w:val="ListParagraph"/>
        <w:numPr>
          <w:ilvl w:val="0"/>
          <w:numId w:val="1"/>
        </w:numPr>
        <w:spacing w:after="0" w:line="240" w:lineRule="auto"/>
        <w:jc w:val="both"/>
      </w:pPr>
      <w:r w:rsidRPr="0038606D">
        <w:t>Powered Industrial Trucks (1910.178): 2,294</w:t>
      </w:r>
    </w:p>
    <w:p w14:paraId="649A9284" w14:textId="77777777" w:rsidR="00CE175C" w:rsidRPr="0038606D" w:rsidRDefault="00CE175C" w:rsidP="00CE175C">
      <w:pPr>
        <w:pStyle w:val="ListParagraph"/>
        <w:numPr>
          <w:ilvl w:val="0"/>
          <w:numId w:val="1"/>
        </w:numPr>
        <w:spacing w:after="0" w:line="240" w:lineRule="auto"/>
        <w:jc w:val="both"/>
      </w:pPr>
      <w:r w:rsidRPr="0038606D">
        <w:t>Fall Protection – Training Requirements (1926.503): 1,982</w:t>
      </w:r>
    </w:p>
    <w:p w14:paraId="18F3C978" w14:textId="77777777" w:rsidR="00CE175C" w:rsidRPr="0038606D" w:rsidRDefault="00CE175C" w:rsidP="00CE175C">
      <w:pPr>
        <w:pStyle w:val="ListParagraph"/>
        <w:numPr>
          <w:ilvl w:val="0"/>
          <w:numId w:val="1"/>
        </w:numPr>
        <w:spacing w:after="0" w:line="240" w:lineRule="auto"/>
        <w:jc w:val="both"/>
      </w:pPr>
      <w:r w:rsidRPr="0038606D">
        <w:t>Machine Guarding (1910.212): 1,972</w:t>
      </w:r>
    </w:p>
    <w:p w14:paraId="5B84C035" w14:textId="77777777" w:rsidR="00CE175C" w:rsidRPr="0038606D" w:rsidRDefault="00CE175C" w:rsidP="00CE175C">
      <w:pPr>
        <w:pStyle w:val="ListParagraph"/>
        <w:numPr>
          <w:ilvl w:val="0"/>
          <w:numId w:val="1"/>
        </w:numPr>
        <w:spacing w:after="0" w:line="240" w:lineRule="auto"/>
        <w:jc w:val="both"/>
      </w:pPr>
      <w:r w:rsidRPr="0038606D">
        <w:t>Eye and Face Protection (1926.102): 1,536</w:t>
      </w:r>
      <w:r w:rsidR="0038606D">
        <w:t xml:space="preserve"> (2018 list newcomer)</w:t>
      </w:r>
    </w:p>
    <w:p w14:paraId="0ECE9343" w14:textId="77777777" w:rsidR="00CE175C" w:rsidRPr="0038606D" w:rsidRDefault="00CE175C" w:rsidP="00500A00">
      <w:pPr>
        <w:spacing w:after="0" w:line="240" w:lineRule="auto"/>
        <w:jc w:val="both"/>
      </w:pPr>
    </w:p>
    <w:p w14:paraId="25F43B4C" w14:textId="77777777" w:rsidR="00CE175C" w:rsidRPr="0038606D" w:rsidRDefault="00CE175C" w:rsidP="00500A00">
      <w:pPr>
        <w:spacing w:after="0" w:line="240" w:lineRule="auto"/>
        <w:jc w:val="both"/>
        <w:rPr>
          <w:b/>
        </w:rPr>
      </w:pPr>
      <w:r w:rsidRPr="0038606D">
        <w:rPr>
          <w:b/>
        </w:rPr>
        <w:t>It’s the Top 10 for a Reason</w:t>
      </w:r>
    </w:p>
    <w:p w14:paraId="259390CD" w14:textId="77777777" w:rsidR="005543D5" w:rsidRPr="0038606D" w:rsidRDefault="005543D5" w:rsidP="00500A00">
      <w:pPr>
        <w:spacing w:after="0" w:line="240" w:lineRule="auto"/>
        <w:jc w:val="both"/>
      </w:pPr>
    </w:p>
    <w:p w14:paraId="2926D92C" w14:textId="77777777" w:rsidR="005543D5" w:rsidRPr="0038606D" w:rsidRDefault="005543D5" w:rsidP="00500A00">
      <w:pPr>
        <w:spacing w:after="0" w:line="240" w:lineRule="auto"/>
        <w:jc w:val="both"/>
      </w:pPr>
      <w:r w:rsidRPr="0038606D">
        <w:t>First, companies continue to have problems with</w:t>
      </w:r>
      <w:r w:rsidR="004E3633" w:rsidRPr="0038606D">
        <w:t xml:space="preserve"> these issues</w:t>
      </w:r>
      <w:r w:rsidRPr="0038606D">
        <w:t xml:space="preserve">. </w:t>
      </w:r>
      <w:r w:rsidR="004E3633" w:rsidRPr="0038606D">
        <w:t xml:space="preserve"> M</w:t>
      </w:r>
      <w:r w:rsidRPr="0038606D">
        <w:t xml:space="preserve">any of them </w:t>
      </w:r>
      <w:r w:rsidR="004E3633" w:rsidRPr="0038606D">
        <w:t>can be affected by employee behaviors such as how they choose to wear (or not wear</w:t>
      </w:r>
      <w:r w:rsidR="0038606D">
        <w:t>)</w:t>
      </w:r>
      <w:r w:rsidR="004E3633" w:rsidRPr="0038606D">
        <w:t xml:space="preserve"> their PPE, conducting (or not</w:t>
      </w:r>
      <w:r w:rsidR="0038606D">
        <w:t>)</w:t>
      </w:r>
      <w:r w:rsidR="004E3633" w:rsidRPr="0038606D">
        <w:t xml:space="preserve"> inspections, using</w:t>
      </w:r>
      <w:r w:rsidR="0038606D">
        <w:t xml:space="preserve"> (or not)</w:t>
      </w:r>
      <w:r w:rsidR="004E3633" w:rsidRPr="0038606D">
        <w:t xml:space="preserve"> injury saving controls, and situational awareness</w:t>
      </w:r>
      <w:r w:rsidR="007C1D3A" w:rsidRPr="0038606D">
        <w:t xml:space="preserve"> pitfalls</w:t>
      </w:r>
      <w:r w:rsidR="004E3633" w:rsidRPr="0038606D">
        <w:t xml:space="preserve">.  </w:t>
      </w:r>
      <w:r w:rsidR="0038606D">
        <w:t>As a result, s</w:t>
      </w:r>
      <w:r w:rsidR="004E3633" w:rsidRPr="0038606D">
        <w:t xml:space="preserve">ome of these </w:t>
      </w:r>
      <w:r w:rsidR="0038606D">
        <w:t xml:space="preserve">are going to </w:t>
      </w:r>
      <w:r w:rsidR="007C1D3A" w:rsidRPr="0038606D">
        <w:t xml:space="preserve">be </w:t>
      </w:r>
      <w:r w:rsidR="004E3633" w:rsidRPr="0038606D">
        <w:t xml:space="preserve">easier to </w:t>
      </w:r>
      <w:r w:rsidR="007C1D3A" w:rsidRPr="0038606D">
        <w:t xml:space="preserve">come across on </w:t>
      </w:r>
      <w:r w:rsidR="004E3633" w:rsidRPr="0038606D">
        <w:t>any given day.</w:t>
      </w:r>
    </w:p>
    <w:p w14:paraId="52663883" w14:textId="77777777" w:rsidR="004E3633" w:rsidRPr="0038606D" w:rsidRDefault="004E3633" w:rsidP="00500A00">
      <w:pPr>
        <w:spacing w:after="0" w:line="240" w:lineRule="auto"/>
        <w:jc w:val="both"/>
      </w:pPr>
    </w:p>
    <w:p w14:paraId="3692D707" w14:textId="77777777" w:rsidR="005543D5" w:rsidRPr="0038606D" w:rsidRDefault="004E3633" w:rsidP="00500A00">
      <w:pPr>
        <w:spacing w:after="0" w:line="240" w:lineRule="auto"/>
        <w:jc w:val="both"/>
      </w:pPr>
      <w:r w:rsidRPr="0038606D">
        <w:t>Next, t</w:t>
      </w:r>
      <w:r w:rsidR="005543D5" w:rsidRPr="0038606D">
        <w:t xml:space="preserve">hese </w:t>
      </w:r>
      <w:r w:rsidR="00CE175C" w:rsidRPr="0038606D">
        <w:t xml:space="preserve">top 10 </w:t>
      </w:r>
      <w:r w:rsidR="007C1D3A" w:rsidRPr="0038606D">
        <w:t>may</w:t>
      </w:r>
      <w:r w:rsidR="00CE175C" w:rsidRPr="0038606D">
        <w:t xml:space="preserve"> </w:t>
      </w:r>
      <w:r w:rsidR="005543D5" w:rsidRPr="0038606D">
        <w:t xml:space="preserve">also </w:t>
      </w:r>
      <w:r w:rsidR="00CE175C" w:rsidRPr="0038606D">
        <w:t xml:space="preserve">be </w:t>
      </w:r>
      <w:r w:rsidR="0038606D">
        <w:t xml:space="preserve">considered </w:t>
      </w:r>
      <w:r w:rsidR="00CE175C" w:rsidRPr="0038606D">
        <w:t xml:space="preserve">the low hanging fruit of inspections.  If these are the most </w:t>
      </w:r>
      <w:r w:rsidR="007C1D3A" w:rsidRPr="0038606D">
        <w:t xml:space="preserve">common </w:t>
      </w:r>
      <w:r w:rsidR="00CE175C" w:rsidRPr="0038606D">
        <w:t xml:space="preserve">violations, then you could surmise inspectors </w:t>
      </w:r>
      <w:r w:rsidR="007C1D3A" w:rsidRPr="0038606D">
        <w:t xml:space="preserve">are going to </w:t>
      </w:r>
      <w:r w:rsidR="00CE175C" w:rsidRPr="0038606D">
        <w:t xml:space="preserve">be looking at these.  </w:t>
      </w:r>
      <w:r w:rsidR="005543D5" w:rsidRPr="0038606D">
        <w:t xml:space="preserve">Further proof </w:t>
      </w:r>
      <w:r w:rsidR="007C1D3A" w:rsidRPr="0038606D">
        <w:t>comes from</w:t>
      </w:r>
      <w:r w:rsidR="005543D5" w:rsidRPr="0038606D">
        <w:t xml:space="preserve"> OSHA’s national, regional and local emphasis programs.  Emphasis programs allow</w:t>
      </w:r>
      <w:r w:rsidR="007C1D3A" w:rsidRPr="0038606D">
        <w:t xml:space="preserve"> </w:t>
      </w:r>
      <w:r w:rsidR="005543D5" w:rsidRPr="0038606D">
        <w:t>an inspector to</w:t>
      </w:r>
      <w:r w:rsidR="00350D79">
        <w:t xml:space="preserve"> add to their investigation. </w:t>
      </w:r>
      <w:r w:rsidR="005543D5" w:rsidRPr="0038606D">
        <w:t>For example, if you</w:t>
      </w:r>
      <w:r w:rsidR="007C1D3A" w:rsidRPr="0038606D">
        <w:t xml:space="preserve"> a</w:t>
      </w:r>
      <w:r w:rsidR="005543D5" w:rsidRPr="0038606D">
        <w:t xml:space="preserve">re having an inspection </w:t>
      </w:r>
      <w:r w:rsidR="007C1D3A" w:rsidRPr="0038606D">
        <w:t>related to an</w:t>
      </w:r>
      <w:r w:rsidR="005543D5" w:rsidRPr="0038606D">
        <w:t xml:space="preserve"> employee complaint </w:t>
      </w:r>
      <w:r w:rsidR="007C1D3A" w:rsidRPr="0038606D">
        <w:t xml:space="preserve">for </w:t>
      </w:r>
      <w:r w:rsidR="005543D5" w:rsidRPr="0038606D">
        <w:t>respirators and there</w:t>
      </w:r>
      <w:r w:rsidR="007C1D3A" w:rsidRPr="0038606D">
        <w:t xml:space="preserve"> is</w:t>
      </w:r>
      <w:r w:rsidR="005543D5" w:rsidRPr="0038606D">
        <w:t xml:space="preserve"> an emphasis program in your area for powered industrial vehicles, OSHA inspectors </w:t>
      </w:r>
      <w:r w:rsidR="007C1D3A" w:rsidRPr="0038606D">
        <w:t>can broaden their inspection</w:t>
      </w:r>
      <w:r w:rsidR="005543D5" w:rsidRPr="0038606D">
        <w:t xml:space="preserve"> if they see a forklift in your building.</w:t>
      </w:r>
    </w:p>
    <w:p w14:paraId="3A4FEE6D" w14:textId="77777777" w:rsidR="005543D5" w:rsidRPr="0038606D" w:rsidRDefault="005543D5" w:rsidP="00500A00">
      <w:pPr>
        <w:spacing w:after="0" w:line="240" w:lineRule="auto"/>
        <w:jc w:val="both"/>
      </w:pPr>
    </w:p>
    <w:p w14:paraId="277A9EFF" w14:textId="77777777" w:rsidR="00920E8A" w:rsidRPr="0038606D" w:rsidRDefault="005543D5" w:rsidP="00500A00">
      <w:pPr>
        <w:spacing w:after="0" w:line="240" w:lineRule="auto"/>
        <w:jc w:val="both"/>
      </w:pPr>
      <w:r w:rsidRPr="0038606D">
        <w:t xml:space="preserve">A check of </w:t>
      </w:r>
      <w:r w:rsidR="00920E8A" w:rsidRPr="0038606D">
        <w:t xml:space="preserve">OSHA’s current </w:t>
      </w:r>
      <w:r w:rsidRPr="0038606D">
        <w:t xml:space="preserve">emphasis programs includes items from the top 10. </w:t>
      </w:r>
      <w:r w:rsidR="00920E8A" w:rsidRPr="0038606D">
        <w:t xml:space="preserve"> Out of 10 OSHA regions, there are emphasis programs for:</w:t>
      </w:r>
    </w:p>
    <w:p w14:paraId="2632567C" w14:textId="77777777" w:rsidR="00920E8A" w:rsidRPr="0038606D" w:rsidRDefault="00920E8A" w:rsidP="00500A00">
      <w:pPr>
        <w:spacing w:after="0" w:line="240" w:lineRule="auto"/>
        <w:jc w:val="both"/>
      </w:pPr>
    </w:p>
    <w:p w14:paraId="742C8F36" w14:textId="77777777" w:rsidR="00920E8A" w:rsidRPr="0038606D" w:rsidRDefault="00920E8A" w:rsidP="00920E8A">
      <w:pPr>
        <w:pStyle w:val="ListParagraph"/>
        <w:numPr>
          <w:ilvl w:val="0"/>
          <w:numId w:val="2"/>
        </w:numPr>
        <w:spacing w:after="0" w:line="240" w:lineRule="auto"/>
        <w:jc w:val="both"/>
        <w:rPr>
          <w:color w:val="000000" w:themeColor="text1"/>
        </w:rPr>
      </w:pPr>
      <w:r w:rsidRPr="0038606D">
        <w:rPr>
          <w:color w:val="000000" w:themeColor="text1"/>
        </w:rPr>
        <w:t xml:space="preserve">Amputations (including machine guarding) – </w:t>
      </w:r>
      <w:r w:rsidR="00D21560" w:rsidRPr="0038606D">
        <w:rPr>
          <w:color w:val="000000" w:themeColor="text1"/>
        </w:rPr>
        <w:t xml:space="preserve">All </w:t>
      </w:r>
      <w:r w:rsidRPr="0038606D">
        <w:rPr>
          <w:color w:val="000000" w:themeColor="text1"/>
        </w:rPr>
        <w:t>10 regions (national emphasis)</w:t>
      </w:r>
    </w:p>
    <w:p w14:paraId="6C7F0559" w14:textId="77777777" w:rsidR="00920E8A" w:rsidRPr="0038606D" w:rsidRDefault="00920E8A" w:rsidP="00920E8A">
      <w:pPr>
        <w:pStyle w:val="ListParagraph"/>
        <w:numPr>
          <w:ilvl w:val="0"/>
          <w:numId w:val="2"/>
        </w:numPr>
        <w:spacing w:after="0" w:line="240" w:lineRule="auto"/>
        <w:jc w:val="both"/>
        <w:rPr>
          <w:color w:val="000000" w:themeColor="text1"/>
        </w:rPr>
      </w:pPr>
      <w:r w:rsidRPr="0038606D">
        <w:rPr>
          <w:color w:val="000000" w:themeColor="text1"/>
        </w:rPr>
        <w:t>Falls – 6 regions</w:t>
      </w:r>
    </w:p>
    <w:p w14:paraId="5FFD158D" w14:textId="77777777" w:rsidR="00920E8A" w:rsidRPr="0038606D" w:rsidRDefault="00920E8A" w:rsidP="00920E8A">
      <w:pPr>
        <w:pStyle w:val="ListParagraph"/>
        <w:numPr>
          <w:ilvl w:val="0"/>
          <w:numId w:val="2"/>
        </w:numPr>
        <w:spacing w:after="0" w:line="240" w:lineRule="auto"/>
        <w:jc w:val="both"/>
        <w:rPr>
          <w:color w:val="000000" w:themeColor="text1"/>
        </w:rPr>
      </w:pPr>
      <w:r w:rsidRPr="0038606D">
        <w:rPr>
          <w:color w:val="000000" w:themeColor="text1"/>
        </w:rPr>
        <w:t>Powered Industrial Vehicles – 5 regions</w:t>
      </w:r>
    </w:p>
    <w:p w14:paraId="0B30A38F" w14:textId="77777777" w:rsidR="00920E8A" w:rsidRPr="0038606D" w:rsidRDefault="00920E8A" w:rsidP="00920E8A">
      <w:pPr>
        <w:pStyle w:val="ListParagraph"/>
        <w:numPr>
          <w:ilvl w:val="0"/>
          <w:numId w:val="2"/>
        </w:numPr>
        <w:spacing w:after="0" w:line="240" w:lineRule="auto"/>
        <w:jc w:val="both"/>
        <w:rPr>
          <w:color w:val="000000" w:themeColor="text1"/>
        </w:rPr>
      </w:pPr>
      <w:r w:rsidRPr="0038606D">
        <w:rPr>
          <w:color w:val="000000" w:themeColor="text1"/>
        </w:rPr>
        <w:t>Electrical (including lockout/tagout) – 2 regions</w:t>
      </w:r>
    </w:p>
    <w:p w14:paraId="63FF568D" w14:textId="77777777" w:rsidR="00920E8A" w:rsidRPr="0038606D" w:rsidRDefault="00920E8A" w:rsidP="00920E8A">
      <w:pPr>
        <w:pStyle w:val="ListParagraph"/>
        <w:numPr>
          <w:ilvl w:val="0"/>
          <w:numId w:val="2"/>
        </w:numPr>
        <w:spacing w:after="0" w:line="240" w:lineRule="auto"/>
        <w:jc w:val="both"/>
        <w:rPr>
          <w:color w:val="000000" w:themeColor="text1"/>
        </w:rPr>
      </w:pPr>
      <w:r w:rsidRPr="0038606D">
        <w:rPr>
          <w:color w:val="000000" w:themeColor="text1"/>
        </w:rPr>
        <w:t>Overall Construction Worksites – 4 regions</w:t>
      </w:r>
    </w:p>
    <w:p w14:paraId="55A84280" w14:textId="77777777" w:rsidR="005543D5" w:rsidRPr="0038606D" w:rsidRDefault="00920E8A" w:rsidP="00920E8A">
      <w:pPr>
        <w:pStyle w:val="ListParagraph"/>
        <w:numPr>
          <w:ilvl w:val="0"/>
          <w:numId w:val="2"/>
        </w:numPr>
        <w:spacing w:after="0" w:line="240" w:lineRule="auto"/>
        <w:jc w:val="both"/>
        <w:rPr>
          <w:color w:val="000000" w:themeColor="text1"/>
        </w:rPr>
      </w:pPr>
      <w:r w:rsidRPr="0038606D">
        <w:rPr>
          <w:color w:val="000000" w:themeColor="text1"/>
        </w:rPr>
        <w:t xml:space="preserve">“High Health Hazard Top 50” – 2 regions </w:t>
      </w:r>
    </w:p>
    <w:p w14:paraId="330C1C31" w14:textId="77777777" w:rsidR="00920E8A" w:rsidRPr="0038606D" w:rsidRDefault="00920E8A" w:rsidP="00920E8A">
      <w:pPr>
        <w:spacing w:after="0" w:line="240" w:lineRule="auto"/>
        <w:jc w:val="both"/>
        <w:rPr>
          <w:color w:val="000000" w:themeColor="text1"/>
        </w:rPr>
      </w:pPr>
    </w:p>
    <w:p w14:paraId="72A248A8" w14:textId="77777777" w:rsidR="00920E8A" w:rsidRPr="0038606D" w:rsidRDefault="00D21560" w:rsidP="00920E8A">
      <w:pPr>
        <w:spacing w:after="0" w:line="240" w:lineRule="auto"/>
        <w:jc w:val="both"/>
        <w:rPr>
          <w:b/>
          <w:color w:val="000000" w:themeColor="text1"/>
        </w:rPr>
      </w:pPr>
      <w:r w:rsidRPr="0038606D">
        <w:rPr>
          <w:b/>
          <w:color w:val="000000" w:themeColor="text1"/>
        </w:rPr>
        <w:t>Make Your Job Easier</w:t>
      </w:r>
      <w:r w:rsidR="00957C22" w:rsidRPr="0038606D">
        <w:rPr>
          <w:b/>
          <w:color w:val="000000" w:themeColor="text1"/>
        </w:rPr>
        <w:t xml:space="preserve"> Tip</w:t>
      </w:r>
      <w:r w:rsidR="00350D79">
        <w:rPr>
          <w:b/>
          <w:color w:val="000000" w:themeColor="text1"/>
        </w:rPr>
        <w:t xml:space="preserve"> 1</w:t>
      </w:r>
      <w:r w:rsidR="00957C22" w:rsidRPr="0038606D">
        <w:rPr>
          <w:b/>
          <w:color w:val="000000" w:themeColor="text1"/>
        </w:rPr>
        <w:t>:  Break it Down</w:t>
      </w:r>
    </w:p>
    <w:p w14:paraId="56CA5276" w14:textId="77777777" w:rsidR="00920E8A" w:rsidRPr="0038606D" w:rsidRDefault="00920E8A" w:rsidP="00920E8A">
      <w:pPr>
        <w:spacing w:after="0" w:line="240" w:lineRule="auto"/>
        <w:jc w:val="both"/>
        <w:rPr>
          <w:color w:val="000000" w:themeColor="text1"/>
        </w:rPr>
      </w:pPr>
    </w:p>
    <w:p w14:paraId="2ACA5568" w14:textId="0ADEEEC9" w:rsidR="00920E8A" w:rsidRPr="0038606D" w:rsidRDefault="00920E8A" w:rsidP="00920E8A">
      <w:pPr>
        <w:spacing w:after="0" w:line="240" w:lineRule="auto"/>
        <w:jc w:val="both"/>
        <w:rPr>
          <w:color w:val="000000" w:themeColor="text1"/>
        </w:rPr>
      </w:pPr>
      <w:r w:rsidRPr="0038606D">
        <w:rPr>
          <w:color w:val="000000" w:themeColor="text1"/>
        </w:rPr>
        <w:t xml:space="preserve">The top 10 </w:t>
      </w:r>
      <w:r w:rsidR="00A5489E" w:rsidRPr="0038606D">
        <w:rPr>
          <w:color w:val="000000" w:themeColor="text1"/>
        </w:rPr>
        <w:t>have specific standard</w:t>
      </w:r>
      <w:r w:rsidR="00D21560" w:rsidRPr="0038606D">
        <w:rPr>
          <w:color w:val="000000" w:themeColor="text1"/>
        </w:rPr>
        <w:t xml:space="preserve"> references with them and from there</w:t>
      </w:r>
      <w:r w:rsidR="00A5489E" w:rsidRPr="0038606D">
        <w:rPr>
          <w:color w:val="000000" w:themeColor="text1"/>
        </w:rPr>
        <w:t xml:space="preserve"> we can see it’s a </w:t>
      </w:r>
      <w:r w:rsidRPr="0038606D">
        <w:rPr>
          <w:color w:val="000000" w:themeColor="text1"/>
        </w:rPr>
        <w:t xml:space="preserve">mix of general industry and construction standards.  </w:t>
      </w:r>
      <w:r w:rsidR="00A5489E" w:rsidRPr="0038606D">
        <w:rPr>
          <w:color w:val="000000" w:themeColor="text1"/>
        </w:rPr>
        <w:t>All 10 areas of safety</w:t>
      </w:r>
      <w:r w:rsidR="006B128E">
        <w:rPr>
          <w:color w:val="000000" w:themeColor="text1"/>
        </w:rPr>
        <w:t xml:space="preserve"> are important.  However, </w:t>
      </w:r>
      <w:r w:rsidR="00D70745" w:rsidRPr="0038606D">
        <w:rPr>
          <w:color w:val="000000" w:themeColor="text1"/>
        </w:rPr>
        <w:t xml:space="preserve">if you </w:t>
      </w:r>
      <w:r w:rsidR="00A5489E" w:rsidRPr="0038606D">
        <w:rPr>
          <w:color w:val="000000" w:themeColor="text1"/>
        </w:rPr>
        <w:t>break the list down by the standard your company typically operates</w:t>
      </w:r>
      <w:r w:rsidR="00477205" w:rsidRPr="0038606D">
        <w:rPr>
          <w:color w:val="000000" w:themeColor="text1"/>
        </w:rPr>
        <w:t xml:space="preserve"> under</w:t>
      </w:r>
      <w:r w:rsidR="006B128E">
        <w:rPr>
          <w:color w:val="000000" w:themeColor="text1"/>
        </w:rPr>
        <w:t>,</w:t>
      </w:r>
      <w:r w:rsidR="00477205" w:rsidRPr="0038606D">
        <w:rPr>
          <w:color w:val="000000" w:themeColor="text1"/>
        </w:rPr>
        <w:t xml:space="preserve"> your focus areas are nearly cut in half and this </w:t>
      </w:r>
      <w:r w:rsidR="00A5489E" w:rsidRPr="0038606D">
        <w:rPr>
          <w:color w:val="000000" w:themeColor="text1"/>
        </w:rPr>
        <w:t xml:space="preserve">becomes much more manageable.  </w:t>
      </w:r>
    </w:p>
    <w:p w14:paraId="2F3B36C5" w14:textId="77777777" w:rsidR="00A5489E" w:rsidRPr="0038606D" w:rsidRDefault="00A5489E" w:rsidP="00920E8A">
      <w:pPr>
        <w:spacing w:after="0" w:line="240" w:lineRule="auto"/>
        <w:jc w:val="both"/>
        <w:rPr>
          <w:color w:val="000000" w:themeColor="text1"/>
        </w:rPr>
      </w:pPr>
    </w:p>
    <w:tbl>
      <w:tblPr>
        <w:tblStyle w:val="TableGrid"/>
        <w:tblW w:w="0" w:type="auto"/>
        <w:tblLook w:val="04A0" w:firstRow="1" w:lastRow="0" w:firstColumn="1" w:lastColumn="0" w:noHBand="0" w:noVBand="1"/>
      </w:tblPr>
      <w:tblGrid>
        <w:gridCol w:w="5394"/>
        <w:gridCol w:w="5394"/>
      </w:tblGrid>
      <w:tr w:rsidR="00A5489E" w:rsidRPr="0038606D" w14:paraId="0E86F0C1" w14:textId="77777777" w:rsidTr="0038606D">
        <w:trPr>
          <w:trHeight w:val="249"/>
        </w:trPr>
        <w:tc>
          <w:tcPr>
            <w:tcW w:w="5394" w:type="dxa"/>
            <w:shd w:val="clear" w:color="auto" w:fill="000000" w:themeFill="text1"/>
          </w:tcPr>
          <w:p w14:paraId="0DB1020E" w14:textId="77777777" w:rsidR="00A5489E" w:rsidRPr="0038606D" w:rsidRDefault="00A5489E" w:rsidP="00920E8A">
            <w:pPr>
              <w:jc w:val="both"/>
              <w:rPr>
                <w:color w:val="FFFFFF" w:themeColor="background1"/>
              </w:rPr>
            </w:pPr>
            <w:r w:rsidRPr="0038606D">
              <w:rPr>
                <w:color w:val="FFFFFF" w:themeColor="background1"/>
              </w:rPr>
              <w:t>General Industry-Related Violations</w:t>
            </w:r>
          </w:p>
        </w:tc>
        <w:tc>
          <w:tcPr>
            <w:tcW w:w="5394" w:type="dxa"/>
            <w:shd w:val="clear" w:color="auto" w:fill="000000" w:themeFill="text1"/>
          </w:tcPr>
          <w:p w14:paraId="5AA8886F" w14:textId="77777777" w:rsidR="00A5489E" w:rsidRPr="0038606D" w:rsidRDefault="00B44AED" w:rsidP="00920E8A">
            <w:pPr>
              <w:jc w:val="both"/>
              <w:rPr>
                <w:color w:val="FFFFFF" w:themeColor="background1"/>
              </w:rPr>
            </w:pPr>
            <w:r w:rsidRPr="0038606D">
              <w:rPr>
                <w:color w:val="FFFFFF" w:themeColor="background1"/>
              </w:rPr>
              <w:t>Construction Industry-</w:t>
            </w:r>
            <w:r w:rsidR="00A5489E" w:rsidRPr="0038606D">
              <w:rPr>
                <w:color w:val="FFFFFF" w:themeColor="background1"/>
              </w:rPr>
              <w:t>Related Violations</w:t>
            </w:r>
          </w:p>
        </w:tc>
      </w:tr>
      <w:tr w:rsidR="00A5489E" w:rsidRPr="0038606D" w14:paraId="31C3227D" w14:textId="77777777" w:rsidTr="0038606D">
        <w:trPr>
          <w:trHeight w:val="249"/>
        </w:trPr>
        <w:tc>
          <w:tcPr>
            <w:tcW w:w="5394" w:type="dxa"/>
          </w:tcPr>
          <w:p w14:paraId="69CEDB33" w14:textId="77777777" w:rsidR="00A5489E" w:rsidRPr="0038606D" w:rsidRDefault="00A5489E" w:rsidP="00920E8A">
            <w:pPr>
              <w:jc w:val="both"/>
              <w:rPr>
                <w:color w:val="000000" w:themeColor="text1"/>
              </w:rPr>
            </w:pPr>
            <w:r w:rsidRPr="0038606D">
              <w:rPr>
                <w:color w:val="000000" w:themeColor="text1"/>
              </w:rPr>
              <w:lastRenderedPageBreak/>
              <w:t>Hazard Communication</w:t>
            </w:r>
          </w:p>
        </w:tc>
        <w:tc>
          <w:tcPr>
            <w:tcW w:w="5394" w:type="dxa"/>
          </w:tcPr>
          <w:p w14:paraId="3FBC317B" w14:textId="77777777" w:rsidR="00A5489E" w:rsidRPr="0038606D" w:rsidRDefault="00A5489E" w:rsidP="00920E8A">
            <w:pPr>
              <w:jc w:val="both"/>
              <w:rPr>
                <w:color w:val="000000" w:themeColor="text1"/>
              </w:rPr>
            </w:pPr>
            <w:r w:rsidRPr="0038606D">
              <w:rPr>
                <w:color w:val="000000" w:themeColor="text1"/>
              </w:rPr>
              <w:t>Fall Protection – General Requirements</w:t>
            </w:r>
          </w:p>
        </w:tc>
      </w:tr>
      <w:tr w:rsidR="00A5489E" w:rsidRPr="0038606D" w14:paraId="77D18A4B" w14:textId="77777777" w:rsidTr="0038606D">
        <w:trPr>
          <w:trHeight w:val="261"/>
        </w:trPr>
        <w:tc>
          <w:tcPr>
            <w:tcW w:w="5394" w:type="dxa"/>
          </w:tcPr>
          <w:p w14:paraId="260ED0FB" w14:textId="77777777" w:rsidR="00A5489E" w:rsidRPr="0038606D" w:rsidRDefault="00A5489E" w:rsidP="00920E8A">
            <w:pPr>
              <w:jc w:val="both"/>
              <w:rPr>
                <w:color w:val="000000" w:themeColor="text1"/>
              </w:rPr>
            </w:pPr>
            <w:r w:rsidRPr="0038606D">
              <w:rPr>
                <w:color w:val="000000" w:themeColor="text1"/>
              </w:rPr>
              <w:t>Respiratory Protection</w:t>
            </w:r>
          </w:p>
        </w:tc>
        <w:tc>
          <w:tcPr>
            <w:tcW w:w="5394" w:type="dxa"/>
          </w:tcPr>
          <w:p w14:paraId="2173F02C" w14:textId="77777777" w:rsidR="00A5489E" w:rsidRPr="0038606D" w:rsidRDefault="00A5489E" w:rsidP="00920E8A">
            <w:pPr>
              <w:jc w:val="both"/>
              <w:rPr>
                <w:color w:val="000000" w:themeColor="text1"/>
              </w:rPr>
            </w:pPr>
            <w:r w:rsidRPr="0038606D">
              <w:rPr>
                <w:color w:val="000000" w:themeColor="text1"/>
              </w:rPr>
              <w:t>Fall Protection – Training</w:t>
            </w:r>
          </w:p>
        </w:tc>
      </w:tr>
      <w:tr w:rsidR="00A5489E" w:rsidRPr="0038606D" w14:paraId="2D00DD0E" w14:textId="77777777" w:rsidTr="0038606D">
        <w:trPr>
          <w:trHeight w:val="249"/>
        </w:trPr>
        <w:tc>
          <w:tcPr>
            <w:tcW w:w="5394" w:type="dxa"/>
          </w:tcPr>
          <w:p w14:paraId="3CB355EF" w14:textId="77777777" w:rsidR="00A5489E" w:rsidRPr="0038606D" w:rsidRDefault="00A5489E" w:rsidP="00920E8A">
            <w:pPr>
              <w:jc w:val="both"/>
              <w:rPr>
                <w:color w:val="000000" w:themeColor="text1"/>
              </w:rPr>
            </w:pPr>
            <w:r w:rsidRPr="0038606D">
              <w:rPr>
                <w:color w:val="000000" w:themeColor="text1"/>
              </w:rPr>
              <w:t>Lockout-Tagout</w:t>
            </w:r>
          </w:p>
        </w:tc>
        <w:tc>
          <w:tcPr>
            <w:tcW w:w="5394" w:type="dxa"/>
          </w:tcPr>
          <w:p w14:paraId="46F480E0" w14:textId="77777777" w:rsidR="00A5489E" w:rsidRPr="0038606D" w:rsidRDefault="00A5489E" w:rsidP="00920E8A">
            <w:pPr>
              <w:jc w:val="both"/>
              <w:rPr>
                <w:color w:val="000000" w:themeColor="text1"/>
              </w:rPr>
            </w:pPr>
            <w:r w:rsidRPr="0038606D">
              <w:rPr>
                <w:color w:val="000000" w:themeColor="text1"/>
              </w:rPr>
              <w:t>Scaffolding</w:t>
            </w:r>
          </w:p>
        </w:tc>
      </w:tr>
      <w:tr w:rsidR="00A5489E" w:rsidRPr="0038606D" w14:paraId="71F29559" w14:textId="77777777" w:rsidTr="0038606D">
        <w:trPr>
          <w:trHeight w:val="249"/>
        </w:trPr>
        <w:tc>
          <w:tcPr>
            <w:tcW w:w="5394" w:type="dxa"/>
          </w:tcPr>
          <w:p w14:paraId="152D2719" w14:textId="77777777" w:rsidR="00A5489E" w:rsidRPr="0038606D" w:rsidRDefault="00A5489E" w:rsidP="00920E8A">
            <w:pPr>
              <w:jc w:val="both"/>
              <w:rPr>
                <w:color w:val="000000" w:themeColor="text1"/>
              </w:rPr>
            </w:pPr>
            <w:r w:rsidRPr="0038606D">
              <w:rPr>
                <w:color w:val="000000" w:themeColor="text1"/>
              </w:rPr>
              <w:t>Powered Industrial Trucks</w:t>
            </w:r>
          </w:p>
        </w:tc>
        <w:tc>
          <w:tcPr>
            <w:tcW w:w="5394" w:type="dxa"/>
          </w:tcPr>
          <w:p w14:paraId="0041A8BA" w14:textId="77777777" w:rsidR="00A5489E" w:rsidRPr="0038606D" w:rsidRDefault="00A5489E" w:rsidP="00920E8A">
            <w:pPr>
              <w:jc w:val="both"/>
              <w:rPr>
                <w:color w:val="000000" w:themeColor="text1"/>
              </w:rPr>
            </w:pPr>
            <w:r w:rsidRPr="0038606D">
              <w:rPr>
                <w:color w:val="000000" w:themeColor="text1"/>
              </w:rPr>
              <w:t>Ladders</w:t>
            </w:r>
          </w:p>
        </w:tc>
      </w:tr>
      <w:tr w:rsidR="00A5489E" w:rsidRPr="0038606D" w14:paraId="7B6FBA98" w14:textId="77777777" w:rsidTr="0038606D">
        <w:trPr>
          <w:trHeight w:val="249"/>
        </w:trPr>
        <w:tc>
          <w:tcPr>
            <w:tcW w:w="5394" w:type="dxa"/>
          </w:tcPr>
          <w:p w14:paraId="025876DE" w14:textId="77777777" w:rsidR="00A5489E" w:rsidRPr="0038606D" w:rsidRDefault="00A5489E" w:rsidP="00920E8A">
            <w:pPr>
              <w:jc w:val="both"/>
              <w:rPr>
                <w:color w:val="000000" w:themeColor="text1"/>
              </w:rPr>
            </w:pPr>
            <w:r w:rsidRPr="0038606D">
              <w:rPr>
                <w:color w:val="000000" w:themeColor="text1"/>
              </w:rPr>
              <w:t>Machine Guarding</w:t>
            </w:r>
          </w:p>
        </w:tc>
        <w:tc>
          <w:tcPr>
            <w:tcW w:w="5394" w:type="dxa"/>
          </w:tcPr>
          <w:p w14:paraId="16D4C3FF" w14:textId="77777777" w:rsidR="00A5489E" w:rsidRPr="0038606D" w:rsidRDefault="00A5489E" w:rsidP="00920E8A">
            <w:pPr>
              <w:jc w:val="both"/>
              <w:rPr>
                <w:color w:val="000000" w:themeColor="text1"/>
              </w:rPr>
            </w:pPr>
            <w:r w:rsidRPr="0038606D">
              <w:rPr>
                <w:color w:val="000000" w:themeColor="text1"/>
              </w:rPr>
              <w:t>Face and Eye Protection</w:t>
            </w:r>
          </w:p>
        </w:tc>
      </w:tr>
      <w:tr w:rsidR="00A5489E" w:rsidRPr="0038606D" w14:paraId="34A923B4" w14:textId="77777777" w:rsidTr="00C617D9">
        <w:trPr>
          <w:trHeight w:val="305"/>
        </w:trPr>
        <w:tc>
          <w:tcPr>
            <w:tcW w:w="5394" w:type="dxa"/>
          </w:tcPr>
          <w:p w14:paraId="08564977" w14:textId="77777777" w:rsidR="00A5489E" w:rsidRPr="0038606D" w:rsidRDefault="00CB6538" w:rsidP="00CB6538">
            <w:pPr>
              <w:rPr>
                <w:color w:val="000000" w:themeColor="text1"/>
              </w:rPr>
            </w:pPr>
            <w:r w:rsidRPr="0038606D">
              <w:rPr>
                <w:color w:val="000000" w:themeColor="text1"/>
              </w:rPr>
              <w:t>Consider: Electrical – Wiring Methods 1910.305*</w:t>
            </w:r>
          </w:p>
        </w:tc>
        <w:tc>
          <w:tcPr>
            <w:tcW w:w="5394" w:type="dxa"/>
          </w:tcPr>
          <w:p w14:paraId="714D119A" w14:textId="24843E42" w:rsidR="00A5489E" w:rsidRPr="0038606D" w:rsidRDefault="00A5489E" w:rsidP="00A5489E">
            <w:pPr>
              <w:jc w:val="both"/>
              <w:rPr>
                <w:color w:val="000000" w:themeColor="text1"/>
              </w:rPr>
            </w:pPr>
            <w:r w:rsidRPr="0038606D">
              <w:rPr>
                <w:color w:val="000000" w:themeColor="text1"/>
              </w:rPr>
              <w:t>Hazard Communication*</w:t>
            </w:r>
            <w:r w:rsidR="00221729">
              <w:rPr>
                <w:color w:val="000000" w:themeColor="text1"/>
              </w:rPr>
              <w:t>*</w:t>
            </w:r>
          </w:p>
        </w:tc>
      </w:tr>
    </w:tbl>
    <w:p w14:paraId="57CB7373" w14:textId="77777777" w:rsidR="0038606D" w:rsidRDefault="0038606D" w:rsidP="00CB6538">
      <w:pPr>
        <w:spacing w:after="0" w:line="240" w:lineRule="auto"/>
        <w:jc w:val="both"/>
        <w:rPr>
          <w:i/>
          <w:color w:val="000000" w:themeColor="text1"/>
          <w:sz w:val="18"/>
        </w:rPr>
      </w:pPr>
    </w:p>
    <w:p w14:paraId="3318F26C" w14:textId="77777777" w:rsidR="00CB6538" w:rsidRPr="0038606D" w:rsidRDefault="00CB6538" w:rsidP="00CB6538">
      <w:pPr>
        <w:spacing w:after="0" w:line="240" w:lineRule="auto"/>
        <w:jc w:val="both"/>
        <w:rPr>
          <w:i/>
          <w:color w:val="000000" w:themeColor="text1"/>
          <w:sz w:val="18"/>
        </w:rPr>
      </w:pPr>
      <w:r w:rsidRPr="0038606D">
        <w:rPr>
          <w:i/>
          <w:color w:val="000000" w:themeColor="text1"/>
          <w:sz w:val="18"/>
        </w:rPr>
        <w:t xml:space="preserve">* This is the violation that dropped off the list, but it </w:t>
      </w:r>
      <w:r w:rsidR="009D6291" w:rsidRPr="0038606D">
        <w:rPr>
          <w:i/>
          <w:color w:val="000000" w:themeColor="text1"/>
          <w:sz w:val="18"/>
        </w:rPr>
        <w:t>has been on in previous years.</w:t>
      </w:r>
      <w:r w:rsidRPr="0038606D">
        <w:rPr>
          <w:i/>
          <w:color w:val="000000" w:themeColor="text1"/>
          <w:sz w:val="18"/>
        </w:rPr>
        <w:t xml:space="preserve"> </w:t>
      </w:r>
    </w:p>
    <w:p w14:paraId="5F18E56F" w14:textId="77777777" w:rsidR="00FB0C32" w:rsidRPr="0038606D" w:rsidRDefault="00CB6538" w:rsidP="00500A00">
      <w:pPr>
        <w:spacing w:after="0" w:line="240" w:lineRule="auto"/>
        <w:jc w:val="both"/>
        <w:rPr>
          <w:i/>
          <w:color w:val="000000" w:themeColor="text1"/>
          <w:sz w:val="18"/>
        </w:rPr>
      </w:pPr>
      <w:r w:rsidRPr="0038606D">
        <w:rPr>
          <w:i/>
          <w:color w:val="000000" w:themeColor="text1"/>
          <w:sz w:val="18"/>
        </w:rPr>
        <w:t>*</w:t>
      </w:r>
      <w:r w:rsidR="00A5489E" w:rsidRPr="0038606D">
        <w:rPr>
          <w:i/>
          <w:color w:val="000000" w:themeColor="text1"/>
          <w:sz w:val="18"/>
        </w:rPr>
        <w:t>*The 1926 standard for hazard communication refers to the 1910 standard.</w:t>
      </w:r>
    </w:p>
    <w:p w14:paraId="5926C91C" w14:textId="77777777" w:rsidR="00CB6538" w:rsidRPr="0038606D" w:rsidRDefault="00CB6538" w:rsidP="00500A00">
      <w:pPr>
        <w:spacing w:after="0" w:line="240" w:lineRule="auto"/>
        <w:jc w:val="both"/>
        <w:rPr>
          <w:i/>
          <w:color w:val="000000" w:themeColor="text1"/>
        </w:rPr>
      </w:pPr>
    </w:p>
    <w:p w14:paraId="3FFE25B1" w14:textId="77777777" w:rsidR="00104804" w:rsidRPr="0038606D" w:rsidRDefault="00D70745" w:rsidP="00500A00">
      <w:pPr>
        <w:spacing w:after="0" w:line="240" w:lineRule="auto"/>
        <w:jc w:val="both"/>
        <w:rPr>
          <w:b/>
        </w:rPr>
      </w:pPr>
      <w:r w:rsidRPr="0038606D">
        <w:rPr>
          <w:b/>
          <w:color w:val="000000" w:themeColor="text1"/>
        </w:rPr>
        <w:t>Make Your Job Easier Tip</w:t>
      </w:r>
      <w:r w:rsidR="00350D79">
        <w:rPr>
          <w:b/>
          <w:color w:val="000000" w:themeColor="text1"/>
        </w:rPr>
        <w:t xml:space="preserve"> 2</w:t>
      </w:r>
      <w:r w:rsidRPr="0038606D">
        <w:rPr>
          <w:b/>
          <w:color w:val="000000" w:themeColor="text1"/>
        </w:rPr>
        <w:t xml:space="preserve">:  </w:t>
      </w:r>
      <w:r w:rsidR="00477205" w:rsidRPr="0038606D">
        <w:rPr>
          <w:b/>
        </w:rPr>
        <w:t>Instant Safety Topics</w:t>
      </w:r>
      <w:r w:rsidR="00350D79">
        <w:rPr>
          <w:b/>
        </w:rPr>
        <w:t>!</w:t>
      </w:r>
    </w:p>
    <w:p w14:paraId="13F8CE12" w14:textId="77777777" w:rsidR="00104804" w:rsidRPr="0038606D" w:rsidRDefault="00104804" w:rsidP="00500A00">
      <w:pPr>
        <w:spacing w:after="0" w:line="240" w:lineRule="auto"/>
        <w:jc w:val="both"/>
        <w:rPr>
          <w:b/>
        </w:rPr>
      </w:pPr>
    </w:p>
    <w:p w14:paraId="4B06490D" w14:textId="77777777" w:rsidR="00104804" w:rsidRPr="0038606D" w:rsidRDefault="00FB0C32" w:rsidP="00500A00">
      <w:pPr>
        <w:spacing w:after="0" w:line="240" w:lineRule="auto"/>
        <w:jc w:val="both"/>
        <w:rPr>
          <w:b/>
        </w:rPr>
      </w:pPr>
      <w:r w:rsidRPr="0038606D">
        <w:t xml:space="preserve">Dealing with the </w:t>
      </w:r>
      <w:r w:rsidR="00D70745" w:rsidRPr="0038606D">
        <w:t xml:space="preserve">immediate site-specific injury-causing </w:t>
      </w:r>
      <w:r w:rsidRPr="0038606D">
        <w:t xml:space="preserve">issues should always be your </w:t>
      </w:r>
      <w:r w:rsidR="00D70745" w:rsidRPr="0038606D">
        <w:t>first</w:t>
      </w:r>
      <w:r w:rsidRPr="0038606D">
        <w:t xml:space="preserve"> focus.  However, </w:t>
      </w:r>
      <w:r w:rsidR="00350D79">
        <w:t>you</w:t>
      </w:r>
      <w:r w:rsidRPr="0038606D">
        <w:t xml:space="preserve"> </w:t>
      </w:r>
      <w:r w:rsidR="00D70745" w:rsidRPr="0038606D">
        <w:t xml:space="preserve">likely </w:t>
      </w:r>
      <w:r w:rsidRPr="0038606D">
        <w:t xml:space="preserve">have safety committees, employee safety briefings, toolbox meetings, newsletters to write, safety emails to send, etc.  The shortened list can now be easy go-to </w:t>
      </w:r>
      <w:r w:rsidR="00D70745" w:rsidRPr="0038606D">
        <w:t>topics.</w:t>
      </w:r>
      <w:r w:rsidRPr="0038606D">
        <w:t xml:space="preserve">  Get your co-workers and safety teams talking </w:t>
      </w:r>
      <w:r w:rsidR="00D70745" w:rsidRPr="0038606D">
        <w:t>about them</w:t>
      </w:r>
      <w:r w:rsidRPr="0038606D">
        <w:t xml:space="preserve">.  As mentioned before, some of these </w:t>
      </w:r>
      <w:r w:rsidR="00D70745" w:rsidRPr="0038606D">
        <w:t xml:space="preserve">items are going to be </w:t>
      </w:r>
      <w:r w:rsidRPr="0038606D">
        <w:t>related to their behaviors and decisions anyway.  Head off the top 10 one person at a time</w:t>
      </w:r>
      <w:r w:rsidR="00D70745" w:rsidRPr="0038606D">
        <w:t xml:space="preserve"> and don’t feel bad if you need to continue to cover them</w:t>
      </w:r>
      <w:r w:rsidRPr="0038606D">
        <w:t>.</w:t>
      </w:r>
      <w:r w:rsidR="00D70745" w:rsidRPr="0038606D">
        <w:t xml:space="preserve">  The world of sales tells us that most people need to hear about something 7 times before it sticks.</w:t>
      </w:r>
    </w:p>
    <w:p w14:paraId="4B2D609F" w14:textId="77777777" w:rsidR="00104804" w:rsidRPr="0038606D" w:rsidRDefault="00104804" w:rsidP="00500A00">
      <w:pPr>
        <w:spacing w:after="0" w:line="240" w:lineRule="auto"/>
        <w:jc w:val="both"/>
        <w:rPr>
          <w:b/>
        </w:rPr>
      </w:pPr>
    </w:p>
    <w:p w14:paraId="26E098FE" w14:textId="77777777" w:rsidR="00500A00" w:rsidRPr="0038606D" w:rsidRDefault="00D70745" w:rsidP="00500A00">
      <w:pPr>
        <w:spacing w:after="0" w:line="240" w:lineRule="auto"/>
        <w:jc w:val="both"/>
        <w:rPr>
          <w:b/>
        </w:rPr>
      </w:pPr>
      <w:r w:rsidRPr="0038606D">
        <w:rPr>
          <w:b/>
          <w:color w:val="000000" w:themeColor="text1"/>
        </w:rPr>
        <w:t>Make Your Job Easier Tip</w:t>
      </w:r>
      <w:r w:rsidR="00350D79">
        <w:rPr>
          <w:b/>
          <w:color w:val="000000" w:themeColor="text1"/>
        </w:rPr>
        <w:t xml:space="preserve"> 3</w:t>
      </w:r>
      <w:r w:rsidRPr="0038606D">
        <w:rPr>
          <w:b/>
          <w:color w:val="000000" w:themeColor="text1"/>
        </w:rPr>
        <w:t xml:space="preserve">:  </w:t>
      </w:r>
      <w:r w:rsidR="00350D79">
        <w:rPr>
          <w:b/>
          <w:color w:val="000000" w:themeColor="text1"/>
        </w:rPr>
        <w:t>Get Your Documentation in Order</w:t>
      </w:r>
    </w:p>
    <w:p w14:paraId="115A0AF6" w14:textId="77777777" w:rsidR="00920E8A" w:rsidRPr="0038606D" w:rsidRDefault="00920E8A" w:rsidP="00500A00">
      <w:pPr>
        <w:spacing w:after="0" w:line="240" w:lineRule="auto"/>
        <w:jc w:val="both"/>
      </w:pPr>
    </w:p>
    <w:p w14:paraId="46634C2B" w14:textId="77777777" w:rsidR="004E3633" w:rsidRPr="0038606D" w:rsidRDefault="00B44AED" w:rsidP="00500A00">
      <w:pPr>
        <w:spacing w:after="0" w:line="240" w:lineRule="auto"/>
        <w:jc w:val="both"/>
      </w:pPr>
      <w:r w:rsidRPr="0038606D">
        <w:t>A number of these areas have specific training</w:t>
      </w:r>
      <w:r w:rsidR="00477205" w:rsidRPr="0038606D">
        <w:t xml:space="preserve"> and/or inspection</w:t>
      </w:r>
      <w:r w:rsidRPr="0038606D">
        <w:t xml:space="preserve"> requirements.  </w:t>
      </w:r>
      <w:r w:rsidR="00477205" w:rsidRPr="0038606D">
        <w:t>Document, document, document!  For training, k</w:t>
      </w:r>
      <w:r w:rsidR="004E3633" w:rsidRPr="0038606D">
        <w:t>eep records of who took training, when training was conducted, who the trainer was and what the content of the training included.</w:t>
      </w:r>
      <w:r w:rsidR="00477205" w:rsidRPr="0038606D">
        <w:t xml:space="preserve"> For inspections, find a way to document these</w:t>
      </w:r>
      <w:r w:rsidR="0038606D" w:rsidRPr="0038606D">
        <w:t xml:space="preserve"> and have a process in place for taking equipment which fails out of service. </w:t>
      </w:r>
      <w:r w:rsidR="004E3633" w:rsidRPr="0038606D">
        <w:t>This will be important information for you during an inspection</w:t>
      </w:r>
      <w:r w:rsidR="0038606D" w:rsidRPr="0038606D">
        <w:t xml:space="preserve"> and </w:t>
      </w:r>
      <w:r w:rsidR="00920E8A" w:rsidRPr="0038606D">
        <w:t xml:space="preserve">can go a long way </w:t>
      </w:r>
      <w:r w:rsidR="00FB0C32" w:rsidRPr="0038606D">
        <w:t>in</w:t>
      </w:r>
      <w:r w:rsidR="00920E8A" w:rsidRPr="0038606D">
        <w:t xml:space="preserve"> staying away from the top 10.</w:t>
      </w:r>
      <w:r w:rsidR="004E3633" w:rsidRPr="0038606D">
        <w:t xml:space="preserve">   </w:t>
      </w:r>
    </w:p>
    <w:p w14:paraId="6A6DEE6D" w14:textId="77777777" w:rsidR="00477205" w:rsidRPr="0038606D" w:rsidRDefault="00477205" w:rsidP="00500A00">
      <w:pPr>
        <w:spacing w:after="0" w:line="240" w:lineRule="auto"/>
        <w:jc w:val="both"/>
      </w:pPr>
    </w:p>
    <w:p w14:paraId="1660BF84" w14:textId="77777777" w:rsidR="0038606D" w:rsidRPr="0038606D" w:rsidRDefault="0038606D" w:rsidP="0038606D">
      <w:pPr>
        <w:spacing w:after="0" w:line="240" w:lineRule="auto"/>
        <w:jc w:val="both"/>
        <w:rPr>
          <w:b/>
        </w:rPr>
      </w:pPr>
      <w:r w:rsidRPr="0038606D">
        <w:rPr>
          <w:b/>
          <w:color w:val="000000" w:themeColor="text1"/>
        </w:rPr>
        <w:t>Make Your Job Easier Tip</w:t>
      </w:r>
      <w:r w:rsidR="00350D79">
        <w:rPr>
          <w:b/>
          <w:color w:val="000000" w:themeColor="text1"/>
        </w:rPr>
        <w:t xml:space="preserve"> 4</w:t>
      </w:r>
      <w:r w:rsidRPr="0038606D">
        <w:rPr>
          <w:b/>
          <w:color w:val="000000" w:themeColor="text1"/>
        </w:rPr>
        <w:t>:  Incorporate These Into Your Walkthroughs</w:t>
      </w:r>
    </w:p>
    <w:p w14:paraId="189FDE5B" w14:textId="77777777" w:rsidR="0038606D" w:rsidRPr="0038606D" w:rsidRDefault="0038606D" w:rsidP="0038606D">
      <w:pPr>
        <w:spacing w:after="0" w:line="240" w:lineRule="auto"/>
        <w:jc w:val="both"/>
      </w:pPr>
    </w:p>
    <w:p w14:paraId="482213C3" w14:textId="77777777" w:rsidR="0038606D" w:rsidRPr="0038606D" w:rsidRDefault="0038606D" w:rsidP="0038606D">
      <w:pPr>
        <w:spacing w:after="0" w:line="240" w:lineRule="auto"/>
        <w:jc w:val="both"/>
      </w:pPr>
      <w:r w:rsidRPr="0038606D">
        <w:t>If you’re not doing so already, set aside a little bit of time each week to conduct a safety walkthrough and incorporate these items into your checklist.  Routine walkthroughs will allow you to keep up on what’s going on at your site, gives you a chance to correct deficiencies, and gives you an opportunity to take advantage of teachable moments to the workers in those areas.  Get your employees involved in inspecting their workplace.  Have them be on the lookout for these same issues in walkthroughs and peer-to-peer observations.</w:t>
      </w:r>
    </w:p>
    <w:p w14:paraId="5E5CFD59" w14:textId="77777777" w:rsidR="00FB0C32" w:rsidRPr="0038606D" w:rsidRDefault="00FB0C32" w:rsidP="00500A00">
      <w:pPr>
        <w:spacing w:after="0" w:line="240" w:lineRule="auto"/>
        <w:jc w:val="both"/>
      </w:pPr>
    </w:p>
    <w:p w14:paraId="3070338C" w14:textId="77777777" w:rsidR="00FB0C32" w:rsidRPr="0038606D" w:rsidRDefault="00D70745" w:rsidP="00500A00">
      <w:pPr>
        <w:spacing w:after="0" w:line="240" w:lineRule="auto"/>
        <w:jc w:val="both"/>
        <w:rPr>
          <w:b/>
        </w:rPr>
      </w:pPr>
      <w:r w:rsidRPr="0038606D">
        <w:rPr>
          <w:b/>
        </w:rPr>
        <w:t>Make Your Job Easier Tip</w:t>
      </w:r>
      <w:r w:rsidR="00350D79">
        <w:rPr>
          <w:b/>
        </w:rPr>
        <w:t xml:space="preserve"> 5</w:t>
      </w:r>
      <w:r w:rsidRPr="0038606D">
        <w:rPr>
          <w:b/>
        </w:rPr>
        <w:t xml:space="preserve">:  </w:t>
      </w:r>
      <w:r w:rsidR="00FB0C32" w:rsidRPr="0038606D">
        <w:rPr>
          <w:b/>
        </w:rPr>
        <w:t>Get Help</w:t>
      </w:r>
    </w:p>
    <w:p w14:paraId="5B765122" w14:textId="77777777" w:rsidR="00FB0C32" w:rsidRPr="0038606D" w:rsidRDefault="00FB0C32" w:rsidP="00500A00">
      <w:pPr>
        <w:spacing w:after="0" w:line="240" w:lineRule="auto"/>
        <w:jc w:val="both"/>
      </w:pPr>
    </w:p>
    <w:p w14:paraId="651365EF" w14:textId="77777777" w:rsidR="007E2F99" w:rsidRPr="0038606D" w:rsidRDefault="00FB0C32" w:rsidP="00500A00">
      <w:pPr>
        <w:spacing w:after="0" w:line="240" w:lineRule="auto"/>
        <w:jc w:val="both"/>
      </w:pPr>
      <w:r w:rsidRPr="0038606D">
        <w:t xml:space="preserve">You are not Superman/Superwoman.  There are too many tasks, crises, and other forces that can get in the way of getting it all accomplished. A good manager needs a supporting cast.  </w:t>
      </w:r>
      <w:r w:rsidR="00327DA5" w:rsidRPr="0038606D">
        <w:t xml:space="preserve">If you can get someone at your company to help you with tasks, that would be great.  However, if you cannot, consider getting an outside company or safety professional to help. Consultants </w:t>
      </w:r>
      <w:r w:rsidR="00D70745" w:rsidRPr="0038606D">
        <w:t>like</w:t>
      </w:r>
      <w:r w:rsidR="00327DA5" w:rsidRPr="0038606D">
        <w:t xml:space="preserve"> iSi are here for a reason.  </w:t>
      </w:r>
      <w:r w:rsidR="00D70745" w:rsidRPr="0038606D">
        <w:t xml:space="preserve">We </w:t>
      </w:r>
      <w:r w:rsidR="00327DA5" w:rsidRPr="0038606D">
        <w:t xml:space="preserve">have people on-staff who have been in your position and have experience with the regulations.  </w:t>
      </w:r>
      <w:r w:rsidR="007E2F99" w:rsidRPr="0038606D">
        <w:t>We can often do what needs to be done (and done correctly) in a fraction of the time it would take for you to do it, or for you to train someone else internally to do it.</w:t>
      </w:r>
      <w:r w:rsidR="00327DA5" w:rsidRPr="0038606D">
        <w:t xml:space="preserve"> </w:t>
      </w:r>
      <w:r w:rsidR="007E2F99" w:rsidRPr="0038606D">
        <w:t xml:space="preserve"> This can be as simple as getting help a writing program or conducting training.  It could be having an audit done to see where you stand on compliance or a bigger project such as revamping a safety program or day-to-day onsite assistance.</w:t>
      </w:r>
    </w:p>
    <w:p w14:paraId="343A60D6" w14:textId="77777777" w:rsidR="007E2F99" w:rsidRPr="0038606D" w:rsidRDefault="007E2F99" w:rsidP="00500A00">
      <w:pPr>
        <w:spacing w:after="0" w:line="240" w:lineRule="auto"/>
        <w:jc w:val="both"/>
      </w:pPr>
    </w:p>
    <w:p w14:paraId="3EA1B182" w14:textId="77777777" w:rsidR="007C1D3A" w:rsidRPr="0038606D" w:rsidRDefault="007C1D3A" w:rsidP="00500A00">
      <w:pPr>
        <w:spacing w:after="0" w:line="240" w:lineRule="auto"/>
        <w:jc w:val="both"/>
        <w:rPr>
          <w:b/>
        </w:rPr>
      </w:pPr>
      <w:r w:rsidRPr="0038606D">
        <w:rPr>
          <w:b/>
        </w:rPr>
        <w:t>In Conclusion</w:t>
      </w:r>
    </w:p>
    <w:p w14:paraId="5C2391CE" w14:textId="77777777" w:rsidR="007C1D3A" w:rsidRPr="0038606D" w:rsidRDefault="007C1D3A" w:rsidP="00500A00">
      <w:pPr>
        <w:spacing w:after="0" w:line="240" w:lineRule="auto"/>
        <w:jc w:val="both"/>
      </w:pPr>
    </w:p>
    <w:p w14:paraId="5B9D73E9" w14:textId="77777777" w:rsidR="00FB0C32" w:rsidRPr="0038606D" w:rsidRDefault="007C1D3A" w:rsidP="00500A00">
      <w:pPr>
        <w:spacing w:after="0" w:line="240" w:lineRule="auto"/>
        <w:jc w:val="both"/>
      </w:pPr>
      <w:r w:rsidRPr="0038606D">
        <w:t xml:space="preserve">Use </w:t>
      </w:r>
      <w:r w:rsidR="00D70745" w:rsidRPr="0038606D">
        <w:t xml:space="preserve">the data from the </w:t>
      </w:r>
      <w:r w:rsidRPr="0038606D">
        <w:t xml:space="preserve">Top 10 as your instant to-do list.  If you can tackle the items </w:t>
      </w:r>
      <w:r w:rsidR="00D70745" w:rsidRPr="0038606D">
        <w:t>that</w:t>
      </w:r>
      <w:r w:rsidRPr="0038606D">
        <w:t xml:space="preserve"> pertain to you, you can help do your part </w:t>
      </w:r>
      <w:r w:rsidR="00D70745" w:rsidRPr="0038606D">
        <w:t>in</w:t>
      </w:r>
      <w:r w:rsidRPr="0038606D">
        <w:t xml:space="preserve"> avoiding those common fines and maybe shaking up the list for next year.</w:t>
      </w:r>
    </w:p>
    <w:sectPr w:rsidR="00FB0C32" w:rsidRPr="0038606D" w:rsidSect="003860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552F6"/>
    <w:multiLevelType w:val="hybridMultilevel"/>
    <w:tmpl w:val="F530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67454"/>
    <w:multiLevelType w:val="hybridMultilevel"/>
    <w:tmpl w:val="0DA4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00"/>
    <w:rsid w:val="00104804"/>
    <w:rsid w:val="001E681A"/>
    <w:rsid w:val="00221729"/>
    <w:rsid w:val="00327DA5"/>
    <w:rsid w:val="00350D79"/>
    <w:rsid w:val="0038606D"/>
    <w:rsid w:val="00477205"/>
    <w:rsid w:val="004E3633"/>
    <w:rsid w:val="00500A00"/>
    <w:rsid w:val="00504401"/>
    <w:rsid w:val="005543D5"/>
    <w:rsid w:val="00580DB0"/>
    <w:rsid w:val="006B128E"/>
    <w:rsid w:val="007C1D3A"/>
    <w:rsid w:val="007E2F99"/>
    <w:rsid w:val="00920E8A"/>
    <w:rsid w:val="00957C22"/>
    <w:rsid w:val="009D6291"/>
    <w:rsid w:val="00A5489E"/>
    <w:rsid w:val="00B34E55"/>
    <w:rsid w:val="00B44AED"/>
    <w:rsid w:val="00C617D9"/>
    <w:rsid w:val="00CB6538"/>
    <w:rsid w:val="00CE175C"/>
    <w:rsid w:val="00D21560"/>
    <w:rsid w:val="00D70745"/>
    <w:rsid w:val="00FB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88C0"/>
  <w15:chartTrackingRefBased/>
  <w15:docId w15:val="{53095D62-E7D2-4F53-B367-0B406E91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5C"/>
    <w:pPr>
      <w:ind w:left="720"/>
      <w:contextualSpacing/>
    </w:pPr>
  </w:style>
  <w:style w:type="table" w:styleId="TableGrid">
    <w:name w:val="Table Grid"/>
    <w:basedOn w:val="TableNormal"/>
    <w:uiPriority w:val="39"/>
    <w:rsid w:val="00A5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4401"/>
    <w:rPr>
      <w:sz w:val="16"/>
      <w:szCs w:val="16"/>
    </w:rPr>
  </w:style>
  <w:style w:type="paragraph" w:styleId="CommentText">
    <w:name w:val="annotation text"/>
    <w:basedOn w:val="Normal"/>
    <w:link w:val="CommentTextChar"/>
    <w:uiPriority w:val="99"/>
    <w:semiHidden/>
    <w:unhideWhenUsed/>
    <w:rsid w:val="00504401"/>
    <w:pPr>
      <w:spacing w:line="240" w:lineRule="auto"/>
    </w:pPr>
    <w:rPr>
      <w:sz w:val="20"/>
      <w:szCs w:val="20"/>
    </w:rPr>
  </w:style>
  <w:style w:type="character" w:customStyle="1" w:styleId="CommentTextChar">
    <w:name w:val="Comment Text Char"/>
    <w:basedOn w:val="DefaultParagraphFont"/>
    <w:link w:val="CommentText"/>
    <w:uiPriority w:val="99"/>
    <w:semiHidden/>
    <w:rsid w:val="00504401"/>
    <w:rPr>
      <w:sz w:val="20"/>
      <w:szCs w:val="20"/>
    </w:rPr>
  </w:style>
  <w:style w:type="paragraph" w:styleId="CommentSubject">
    <w:name w:val="annotation subject"/>
    <w:basedOn w:val="CommentText"/>
    <w:next w:val="CommentText"/>
    <w:link w:val="CommentSubjectChar"/>
    <w:uiPriority w:val="99"/>
    <w:semiHidden/>
    <w:unhideWhenUsed/>
    <w:rsid w:val="00504401"/>
    <w:rPr>
      <w:b/>
      <w:bCs/>
    </w:rPr>
  </w:style>
  <w:style w:type="character" w:customStyle="1" w:styleId="CommentSubjectChar">
    <w:name w:val="Comment Subject Char"/>
    <w:basedOn w:val="CommentTextChar"/>
    <w:link w:val="CommentSubject"/>
    <w:uiPriority w:val="99"/>
    <w:semiHidden/>
    <w:rsid w:val="00504401"/>
    <w:rPr>
      <w:b/>
      <w:bCs/>
      <w:sz w:val="20"/>
      <w:szCs w:val="20"/>
    </w:rPr>
  </w:style>
  <w:style w:type="paragraph" w:styleId="Revision">
    <w:name w:val="Revision"/>
    <w:hidden/>
    <w:uiPriority w:val="99"/>
    <w:semiHidden/>
    <w:rsid w:val="00504401"/>
    <w:pPr>
      <w:spacing w:after="0" w:line="240" w:lineRule="auto"/>
    </w:pPr>
  </w:style>
  <w:style w:type="paragraph" w:styleId="BalloonText">
    <w:name w:val="Balloon Text"/>
    <w:basedOn w:val="Normal"/>
    <w:link w:val="BalloonTextChar"/>
    <w:uiPriority w:val="99"/>
    <w:semiHidden/>
    <w:unhideWhenUsed/>
    <w:rsid w:val="00504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EC396-D648-4298-AC3A-61865F0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2018-11-15T21:18:00Z</dcterms:created>
  <dcterms:modified xsi:type="dcterms:W3CDTF">2018-11-16T00:53:00Z</dcterms:modified>
</cp:coreProperties>
</file>