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05" w:rsidRPr="00025E05" w:rsidRDefault="00025E05" w:rsidP="007C137F">
      <w:pPr>
        <w:pStyle w:val="Default"/>
        <w:rPr>
          <w:rFonts w:asciiTheme="minorHAnsi" w:hAnsiTheme="minorHAnsi" w:cstheme="minorHAnsi"/>
          <w:sz w:val="32"/>
        </w:rPr>
      </w:pPr>
      <w:bookmarkStart w:id="0" w:name="_GoBack"/>
      <w:bookmarkEnd w:id="0"/>
      <w:r w:rsidRPr="00025E05">
        <w:rPr>
          <w:rFonts w:asciiTheme="minorHAnsi" w:hAnsiTheme="minorHAnsi" w:cstheme="minorHAnsi"/>
          <w:sz w:val="32"/>
        </w:rPr>
        <w:t>Protecting Your Pro</w:t>
      </w:r>
      <w:r>
        <w:rPr>
          <w:rFonts w:asciiTheme="minorHAnsi" w:hAnsiTheme="minorHAnsi" w:cstheme="minorHAnsi"/>
          <w:sz w:val="32"/>
        </w:rPr>
        <w:t>perty Transaction Liabilities</w:t>
      </w:r>
    </w:p>
    <w:p w:rsidR="00D41684" w:rsidRPr="00025E05" w:rsidRDefault="00025E05" w:rsidP="007C137F">
      <w:pPr>
        <w:pStyle w:val="Default"/>
        <w:rPr>
          <w:rFonts w:asciiTheme="minorHAnsi" w:hAnsiTheme="minorHAnsi" w:cstheme="minorHAnsi"/>
          <w:b/>
          <w:sz w:val="36"/>
        </w:rPr>
      </w:pPr>
      <w:r w:rsidRPr="00025E05">
        <w:rPr>
          <w:rFonts w:asciiTheme="minorHAnsi" w:hAnsiTheme="minorHAnsi" w:cstheme="minorHAnsi"/>
          <w:b/>
          <w:sz w:val="36"/>
        </w:rPr>
        <w:t>What is a Phase I Environmental Site Assessment?</w:t>
      </w:r>
    </w:p>
    <w:p w:rsidR="00D41684" w:rsidRPr="007C137F" w:rsidRDefault="00D41684" w:rsidP="007C137F">
      <w:pPr>
        <w:pStyle w:val="Default"/>
        <w:rPr>
          <w:rFonts w:asciiTheme="minorHAnsi" w:hAnsiTheme="minorHAnsi" w:cstheme="minorHAnsi"/>
        </w:rPr>
      </w:pPr>
      <w:r w:rsidRPr="007C137F">
        <w:rPr>
          <w:rFonts w:asciiTheme="minorHAnsi" w:hAnsiTheme="minorHAnsi" w:cstheme="minorHAnsi"/>
        </w:rPr>
        <w:t xml:space="preserve"> </w:t>
      </w:r>
    </w:p>
    <w:p w:rsidR="00D41684" w:rsidRDefault="00D41684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C137F">
        <w:rPr>
          <w:rFonts w:cstheme="minorHAnsi"/>
          <w:sz w:val="24"/>
          <w:szCs w:val="24"/>
        </w:rPr>
        <w:t xml:space="preserve">If your company plans to purchase, manage, </w:t>
      </w:r>
      <w:r w:rsidR="00AE6E0C">
        <w:rPr>
          <w:rFonts w:cstheme="minorHAnsi"/>
          <w:sz w:val="24"/>
          <w:szCs w:val="24"/>
        </w:rPr>
        <w:t xml:space="preserve">lease, </w:t>
      </w:r>
      <w:r w:rsidRPr="007C137F">
        <w:rPr>
          <w:rFonts w:cstheme="minorHAnsi"/>
          <w:sz w:val="24"/>
          <w:szCs w:val="24"/>
        </w:rPr>
        <w:t xml:space="preserve">or sell a piece of commercial property, the phrase “Phase I Environmental </w:t>
      </w:r>
      <w:r w:rsidR="00AE6E0C">
        <w:rPr>
          <w:rFonts w:cstheme="minorHAnsi"/>
          <w:sz w:val="24"/>
          <w:szCs w:val="24"/>
        </w:rPr>
        <w:t xml:space="preserve">Site </w:t>
      </w:r>
      <w:r w:rsidRPr="007C137F">
        <w:rPr>
          <w:rFonts w:cstheme="minorHAnsi"/>
          <w:sz w:val="24"/>
          <w:szCs w:val="24"/>
        </w:rPr>
        <w:t xml:space="preserve">Assessment” is bound to come up, and </w:t>
      </w:r>
      <w:r w:rsidR="00AE6E0C">
        <w:rPr>
          <w:rFonts w:cstheme="minorHAnsi"/>
          <w:sz w:val="24"/>
          <w:szCs w:val="24"/>
        </w:rPr>
        <w:t xml:space="preserve">if </w:t>
      </w:r>
      <w:r w:rsidRPr="007C137F">
        <w:rPr>
          <w:rFonts w:cstheme="minorHAnsi"/>
          <w:sz w:val="24"/>
          <w:szCs w:val="24"/>
        </w:rPr>
        <w:t>it doesn’t, it should</w:t>
      </w:r>
      <w:r w:rsidR="000E481F">
        <w:rPr>
          <w:rFonts w:cstheme="minorHAnsi"/>
          <w:sz w:val="24"/>
          <w:szCs w:val="24"/>
        </w:rPr>
        <w:t>,</w:t>
      </w:r>
      <w:r w:rsidRPr="007C137F">
        <w:rPr>
          <w:rFonts w:cstheme="minorHAnsi"/>
          <w:sz w:val="24"/>
          <w:szCs w:val="24"/>
        </w:rPr>
        <w:t xml:space="preserve"> because it’s key to limiting your risk with the transaction. </w:t>
      </w:r>
    </w:p>
    <w:p w:rsidR="007C137F" w:rsidRDefault="007C137F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C137F" w:rsidRPr="0093052E" w:rsidRDefault="007C137F" w:rsidP="007C137F">
      <w:pPr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93052E">
        <w:rPr>
          <w:rFonts w:cstheme="minorHAnsi"/>
          <w:b/>
          <w:sz w:val="28"/>
          <w:szCs w:val="24"/>
        </w:rPr>
        <w:t>What’s a Phase I ESA?</w:t>
      </w:r>
    </w:p>
    <w:p w:rsidR="00D41684" w:rsidRPr="007C137F" w:rsidRDefault="00D41684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07670" w:rsidRDefault="00D41684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C137F">
        <w:rPr>
          <w:rFonts w:cstheme="minorHAnsi"/>
          <w:sz w:val="24"/>
          <w:szCs w:val="24"/>
        </w:rPr>
        <w:t xml:space="preserve">Phase I Environmental </w:t>
      </w:r>
      <w:r w:rsidR="00AE6E0C">
        <w:rPr>
          <w:rFonts w:cstheme="minorHAnsi"/>
          <w:sz w:val="24"/>
          <w:szCs w:val="24"/>
        </w:rPr>
        <w:t xml:space="preserve">Site </w:t>
      </w:r>
      <w:r w:rsidRPr="007C137F">
        <w:rPr>
          <w:rFonts w:cstheme="minorHAnsi"/>
          <w:sz w:val="24"/>
          <w:szCs w:val="24"/>
        </w:rPr>
        <w:t xml:space="preserve">Assessments (Phase I ESAs) are studies that research the current and historical uses of a property. The intent of the study </w:t>
      </w:r>
      <w:r w:rsidR="000E481F">
        <w:rPr>
          <w:rFonts w:cstheme="minorHAnsi"/>
          <w:sz w:val="24"/>
          <w:szCs w:val="24"/>
        </w:rPr>
        <w:t xml:space="preserve">is to assess </w:t>
      </w:r>
      <w:r w:rsidRPr="007C137F">
        <w:rPr>
          <w:rFonts w:cstheme="minorHAnsi"/>
          <w:sz w:val="24"/>
          <w:szCs w:val="24"/>
        </w:rPr>
        <w:t xml:space="preserve">current or historical property uses </w:t>
      </w:r>
      <w:r w:rsidR="000E481F">
        <w:rPr>
          <w:rFonts w:cstheme="minorHAnsi"/>
          <w:sz w:val="24"/>
          <w:szCs w:val="24"/>
        </w:rPr>
        <w:t xml:space="preserve">impacting the property that </w:t>
      </w:r>
      <w:r w:rsidRPr="007C137F">
        <w:rPr>
          <w:rFonts w:cstheme="minorHAnsi"/>
          <w:sz w:val="24"/>
          <w:szCs w:val="24"/>
        </w:rPr>
        <w:t>could pose a threat to the environment and/or human health.  This research will help give insight if there’s a potential that you</w:t>
      </w:r>
      <w:r w:rsidR="000E481F">
        <w:rPr>
          <w:rFonts w:cstheme="minorHAnsi"/>
          <w:sz w:val="24"/>
          <w:szCs w:val="24"/>
        </w:rPr>
        <w:t>’ll be responsible for e</w:t>
      </w:r>
      <w:r w:rsidRPr="007C137F">
        <w:rPr>
          <w:rFonts w:cstheme="minorHAnsi"/>
          <w:sz w:val="24"/>
          <w:szCs w:val="24"/>
        </w:rPr>
        <w:t xml:space="preserve">nvironmental </w:t>
      </w:r>
      <w:r w:rsidR="000E481F">
        <w:rPr>
          <w:rFonts w:cstheme="minorHAnsi"/>
          <w:sz w:val="24"/>
          <w:szCs w:val="24"/>
        </w:rPr>
        <w:t xml:space="preserve">issues </w:t>
      </w:r>
      <w:r w:rsidRPr="007C137F">
        <w:rPr>
          <w:rFonts w:cstheme="minorHAnsi"/>
          <w:sz w:val="24"/>
          <w:szCs w:val="24"/>
        </w:rPr>
        <w:t>found onsite.</w:t>
      </w:r>
    </w:p>
    <w:p w:rsidR="007C137F" w:rsidRDefault="007C137F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C137F" w:rsidRPr="0093052E" w:rsidRDefault="007C137F" w:rsidP="007C137F">
      <w:pPr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93052E">
        <w:rPr>
          <w:rFonts w:cstheme="minorHAnsi"/>
          <w:b/>
          <w:sz w:val="28"/>
          <w:szCs w:val="24"/>
        </w:rPr>
        <w:t>Who Needs to Conduct a Phase I ESA?</w:t>
      </w:r>
    </w:p>
    <w:p w:rsidR="007C137F" w:rsidRDefault="007C137F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C137F" w:rsidRPr="0093052E" w:rsidRDefault="007C137F" w:rsidP="009305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>Property Owners</w:t>
      </w:r>
    </w:p>
    <w:p w:rsidR="007C137F" w:rsidRPr="0093052E" w:rsidRDefault="007C137F" w:rsidP="009305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>Property Sellers</w:t>
      </w:r>
    </w:p>
    <w:p w:rsidR="007C137F" w:rsidRPr="0093052E" w:rsidRDefault="007C137F" w:rsidP="009305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>Banks/Lenders</w:t>
      </w:r>
    </w:p>
    <w:p w:rsidR="007C137F" w:rsidRPr="0093052E" w:rsidRDefault="007C137F" w:rsidP="009305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>Property Buyers</w:t>
      </w:r>
    </w:p>
    <w:p w:rsidR="00D41684" w:rsidRPr="007C137F" w:rsidRDefault="00D41684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41684" w:rsidRPr="0093052E" w:rsidRDefault="007C137F" w:rsidP="007C137F">
      <w:pPr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93052E">
        <w:rPr>
          <w:rFonts w:cstheme="minorHAnsi"/>
          <w:b/>
          <w:sz w:val="28"/>
          <w:szCs w:val="24"/>
        </w:rPr>
        <w:t xml:space="preserve">What Federal Regulations Impact a Phase I ESA? </w:t>
      </w:r>
    </w:p>
    <w:p w:rsidR="00D41684" w:rsidRPr="007C137F" w:rsidRDefault="00D41684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41684" w:rsidRPr="007C137F" w:rsidRDefault="007C137F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C137F">
        <w:rPr>
          <w:rFonts w:cstheme="minorHAnsi"/>
          <w:sz w:val="24"/>
          <w:szCs w:val="24"/>
        </w:rPr>
        <w:t>EPA’s CERCLA (Comprehensive Environmental Response, Compensation and Liability Act), aka Superfund, gives the federal government the ability to respond to releases, or threated releases of hazardous substances</w:t>
      </w:r>
      <w:r w:rsidR="000E481F">
        <w:rPr>
          <w:rFonts w:cstheme="minorHAnsi"/>
          <w:sz w:val="24"/>
          <w:szCs w:val="24"/>
        </w:rPr>
        <w:t xml:space="preserve">.  It also gives them the ability to </w:t>
      </w:r>
      <w:r w:rsidRPr="007C137F">
        <w:rPr>
          <w:rFonts w:cstheme="minorHAnsi"/>
          <w:sz w:val="24"/>
          <w:szCs w:val="24"/>
        </w:rPr>
        <w:t xml:space="preserve">pursue polluters </w:t>
      </w:r>
      <w:r w:rsidR="000E481F">
        <w:rPr>
          <w:rFonts w:cstheme="minorHAnsi"/>
          <w:sz w:val="24"/>
          <w:szCs w:val="24"/>
        </w:rPr>
        <w:t>(</w:t>
      </w:r>
      <w:r w:rsidRPr="007C137F">
        <w:rPr>
          <w:rFonts w:cstheme="minorHAnsi"/>
          <w:sz w:val="24"/>
          <w:szCs w:val="24"/>
        </w:rPr>
        <w:t>responsible parties</w:t>
      </w:r>
      <w:r w:rsidR="000E481F">
        <w:rPr>
          <w:rFonts w:cstheme="minorHAnsi"/>
          <w:sz w:val="24"/>
          <w:szCs w:val="24"/>
        </w:rPr>
        <w:t>)</w:t>
      </w:r>
      <w:r w:rsidRPr="007C137F">
        <w:rPr>
          <w:rFonts w:cstheme="minorHAnsi"/>
          <w:sz w:val="24"/>
          <w:szCs w:val="24"/>
        </w:rPr>
        <w:t xml:space="preserve"> or potential polluters </w:t>
      </w:r>
      <w:r w:rsidR="000E481F">
        <w:rPr>
          <w:rFonts w:cstheme="minorHAnsi"/>
          <w:sz w:val="24"/>
          <w:szCs w:val="24"/>
        </w:rPr>
        <w:t>(</w:t>
      </w:r>
      <w:r w:rsidRPr="007C137F">
        <w:rPr>
          <w:rFonts w:cstheme="minorHAnsi"/>
          <w:sz w:val="24"/>
          <w:szCs w:val="24"/>
        </w:rPr>
        <w:t>potentially responsible parties</w:t>
      </w:r>
      <w:r w:rsidR="000E481F">
        <w:rPr>
          <w:rFonts w:cstheme="minorHAnsi"/>
          <w:sz w:val="24"/>
          <w:szCs w:val="24"/>
        </w:rPr>
        <w:t>)</w:t>
      </w:r>
      <w:r w:rsidRPr="007C137F">
        <w:rPr>
          <w:rFonts w:cstheme="minorHAnsi"/>
          <w:sz w:val="24"/>
          <w:szCs w:val="24"/>
        </w:rPr>
        <w:t xml:space="preserve"> for the cleanup of contaminated sites.</w:t>
      </w:r>
      <w:r w:rsidR="002423C9">
        <w:rPr>
          <w:rFonts w:cstheme="minorHAnsi"/>
          <w:sz w:val="24"/>
          <w:szCs w:val="24"/>
        </w:rPr>
        <w:t xml:space="preserve">  As a property buyer or seller, it’s up to you to do some due diligence and make an “all appropriate inquiry” into the environmental </w:t>
      </w:r>
      <w:r w:rsidR="000E481F">
        <w:rPr>
          <w:rFonts w:cstheme="minorHAnsi"/>
          <w:sz w:val="24"/>
          <w:szCs w:val="24"/>
        </w:rPr>
        <w:t>conditions</w:t>
      </w:r>
      <w:r w:rsidR="002423C9">
        <w:rPr>
          <w:rFonts w:cstheme="minorHAnsi"/>
          <w:sz w:val="24"/>
          <w:szCs w:val="24"/>
        </w:rPr>
        <w:t xml:space="preserve"> of the site.</w:t>
      </w:r>
    </w:p>
    <w:p w:rsidR="007C137F" w:rsidRPr="007C137F" w:rsidRDefault="007C137F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423C9" w:rsidRDefault="002423C9" w:rsidP="002423C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 make that all appropriate inquiry, t</w:t>
      </w:r>
      <w:r w:rsidR="007C137F" w:rsidRPr="007C137F">
        <w:rPr>
          <w:rFonts w:cstheme="minorHAnsi"/>
          <w:sz w:val="24"/>
          <w:szCs w:val="24"/>
        </w:rPr>
        <w:t xml:space="preserve">here are </w:t>
      </w:r>
      <w:r>
        <w:rPr>
          <w:rFonts w:cstheme="minorHAnsi"/>
          <w:sz w:val="24"/>
          <w:szCs w:val="24"/>
        </w:rPr>
        <w:t xml:space="preserve">certain defenses allowed to protect </w:t>
      </w:r>
      <w:r w:rsidR="007C137F" w:rsidRPr="007C137F">
        <w:rPr>
          <w:rFonts w:cstheme="minorHAnsi"/>
          <w:sz w:val="24"/>
          <w:szCs w:val="24"/>
        </w:rPr>
        <w:t>yourself from CERCLA liability</w:t>
      </w:r>
      <w:r>
        <w:rPr>
          <w:rFonts w:cstheme="minorHAnsi"/>
          <w:sz w:val="24"/>
          <w:szCs w:val="24"/>
        </w:rPr>
        <w:t xml:space="preserve">.  </w:t>
      </w:r>
    </w:p>
    <w:p w:rsidR="002423C9" w:rsidRDefault="002423C9" w:rsidP="002423C9">
      <w:pPr>
        <w:spacing w:after="0" w:line="240" w:lineRule="auto"/>
        <w:jc w:val="both"/>
      </w:pPr>
    </w:p>
    <w:p w:rsidR="000E481F" w:rsidRDefault="000E481F" w:rsidP="000E481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C137F">
        <w:rPr>
          <w:rFonts w:cstheme="minorHAnsi"/>
          <w:sz w:val="24"/>
          <w:szCs w:val="24"/>
        </w:rPr>
        <w:t xml:space="preserve">The </w:t>
      </w:r>
      <w:r w:rsidRPr="0093052E">
        <w:rPr>
          <w:rFonts w:cstheme="minorHAnsi"/>
          <w:b/>
          <w:i/>
          <w:sz w:val="24"/>
          <w:szCs w:val="24"/>
        </w:rPr>
        <w:t>Bona Fide Prospective Purchaser Defense</w:t>
      </w:r>
      <w:r>
        <w:rPr>
          <w:rFonts w:cstheme="minorHAnsi"/>
          <w:sz w:val="24"/>
          <w:szCs w:val="24"/>
        </w:rPr>
        <w:t xml:space="preserve"> </w:t>
      </w:r>
      <w:r w:rsidRPr="007C137F">
        <w:rPr>
          <w:rFonts w:cstheme="minorHAnsi"/>
          <w:sz w:val="24"/>
          <w:szCs w:val="24"/>
        </w:rPr>
        <w:t xml:space="preserve">allows a purchaser to first evaluate the </w:t>
      </w:r>
      <w:proofErr w:type="gramStart"/>
      <w:r w:rsidRPr="007C137F">
        <w:rPr>
          <w:rFonts w:cstheme="minorHAnsi"/>
          <w:sz w:val="24"/>
          <w:szCs w:val="24"/>
        </w:rPr>
        <w:t>property’s</w:t>
      </w:r>
      <w:proofErr w:type="gramEnd"/>
      <w:r w:rsidRPr="007C137F">
        <w:rPr>
          <w:rFonts w:cstheme="minorHAnsi"/>
          <w:sz w:val="24"/>
          <w:szCs w:val="24"/>
        </w:rPr>
        <w:t xml:space="preserve"> environmental conditions and assess potential liability for any contamination</w:t>
      </w:r>
      <w:r>
        <w:rPr>
          <w:rFonts w:cstheme="minorHAnsi"/>
          <w:sz w:val="24"/>
          <w:szCs w:val="24"/>
        </w:rPr>
        <w:t>,</w:t>
      </w:r>
      <w:r w:rsidRPr="007C137F">
        <w:rPr>
          <w:rFonts w:cstheme="minorHAnsi"/>
          <w:sz w:val="24"/>
          <w:szCs w:val="24"/>
        </w:rPr>
        <w:t xml:space="preserve"> then purchase the property with knowledge of hazardous substance contamination without incurring liability as an owner or operator.</w:t>
      </w:r>
      <w:r>
        <w:rPr>
          <w:rFonts w:cstheme="minorHAnsi"/>
          <w:sz w:val="24"/>
          <w:szCs w:val="24"/>
        </w:rPr>
        <w:t xml:space="preserve">  </w:t>
      </w:r>
    </w:p>
    <w:p w:rsidR="000E481F" w:rsidRDefault="000E481F" w:rsidP="000E481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423C9" w:rsidRDefault="002423C9" w:rsidP="002423C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 xml:space="preserve">The </w:t>
      </w:r>
      <w:r w:rsidRPr="0093052E">
        <w:rPr>
          <w:rFonts w:cstheme="minorHAnsi"/>
          <w:b/>
          <w:i/>
          <w:sz w:val="24"/>
          <w:szCs w:val="24"/>
        </w:rPr>
        <w:t>Innocent Landowner Defense</w:t>
      </w:r>
      <w:r>
        <w:rPr>
          <w:rFonts w:cstheme="minorHAnsi"/>
          <w:sz w:val="24"/>
          <w:szCs w:val="24"/>
        </w:rPr>
        <w:t xml:space="preserve"> is </w:t>
      </w:r>
      <w:r w:rsidRPr="007C137F">
        <w:rPr>
          <w:rFonts w:cstheme="minorHAnsi"/>
          <w:sz w:val="24"/>
          <w:szCs w:val="24"/>
        </w:rPr>
        <w:t xml:space="preserve">allowed if a purchaser “did not know and had no reason to know” that contamination existed on the property at the time the purchaser acquired the </w:t>
      </w:r>
      <w:r w:rsidRPr="007C137F">
        <w:rPr>
          <w:rFonts w:cstheme="minorHAnsi"/>
          <w:sz w:val="24"/>
          <w:szCs w:val="24"/>
        </w:rPr>
        <w:lastRenderedPageBreak/>
        <w:t xml:space="preserve">property, if a government entity acquires a property by escheat, involuntary acquisition, or eminent domain, or if a person acquired the facility by inheritance or bequest.  </w:t>
      </w:r>
    </w:p>
    <w:p w:rsidR="002423C9" w:rsidRDefault="002423C9" w:rsidP="002423C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244F4" w:rsidRDefault="002423C9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t</w:t>
      </w:r>
      <w:r w:rsidR="007C137F" w:rsidRPr="007C137F">
        <w:rPr>
          <w:rFonts w:cstheme="minorHAnsi"/>
          <w:sz w:val="24"/>
          <w:szCs w:val="24"/>
        </w:rPr>
        <w:t xml:space="preserve">he </w:t>
      </w:r>
      <w:r w:rsidR="007C137F" w:rsidRPr="0093052E">
        <w:rPr>
          <w:rFonts w:cstheme="minorHAnsi"/>
          <w:b/>
          <w:i/>
          <w:sz w:val="24"/>
          <w:szCs w:val="24"/>
        </w:rPr>
        <w:t>Contiguous Property Owner Defense</w:t>
      </w:r>
      <w:r>
        <w:rPr>
          <w:rFonts w:cstheme="minorHAnsi"/>
          <w:sz w:val="24"/>
          <w:szCs w:val="24"/>
        </w:rPr>
        <w:t xml:space="preserve">, the </w:t>
      </w:r>
      <w:r w:rsidR="00025E05" w:rsidRPr="007C137F">
        <w:rPr>
          <w:rFonts w:cstheme="minorHAnsi"/>
          <w:sz w:val="24"/>
          <w:szCs w:val="24"/>
        </w:rPr>
        <w:t>property must be contiguous to a property that is or may be contaminated by hazardous substances from other property that is not owned by that person.</w:t>
      </w:r>
    </w:p>
    <w:p w:rsidR="002423C9" w:rsidRDefault="002423C9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244F4" w:rsidRDefault="002423C9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Another defense, the </w:t>
      </w:r>
      <w:r w:rsidR="007C137F" w:rsidRPr="0093052E">
        <w:rPr>
          <w:rFonts w:cstheme="minorHAnsi"/>
          <w:b/>
          <w:i/>
          <w:sz w:val="24"/>
          <w:szCs w:val="24"/>
        </w:rPr>
        <w:t>Brownfield Defense</w:t>
      </w:r>
      <w:r>
        <w:rPr>
          <w:rFonts w:cstheme="minorHAnsi"/>
          <w:sz w:val="24"/>
          <w:szCs w:val="24"/>
        </w:rPr>
        <w:t xml:space="preserve">, can be used when a property is already assumed to have contamination, and </w:t>
      </w:r>
      <w:r w:rsidR="000E481F">
        <w:rPr>
          <w:rFonts w:cstheme="minorHAnsi"/>
          <w:sz w:val="24"/>
          <w:szCs w:val="24"/>
        </w:rPr>
        <w:t xml:space="preserve">it </w:t>
      </w:r>
      <w:r>
        <w:rPr>
          <w:rFonts w:cstheme="minorHAnsi"/>
          <w:sz w:val="24"/>
          <w:szCs w:val="24"/>
        </w:rPr>
        <w:t>becomes a part of E</w:t>
      </w:r>
      <w:r w:rsidR="00025E05" w:rsidRPr="007C137F">
        <w:rPr>
          <w:rFonts w:cstheme="minorHAnsi"/>
          <w:sz w:val="24"/>
          <w:szCs w:val="24"/>
        </w:rPr>
        <w:t>PA's Brownfields Program</w:t>
      </w:r>
      <w:r>
        <w:rPr>
          <w:rFonts w:cstheme="minorHAnsi"/>
          <w:sz w:val="24"/>
          <w:szCs w:val="24"/>
        </w:rPr>
        <w:t xml:space="preserve"> for e</w:t>
      </w:r>
      <w:r w:rsidR="00025E05" w:rsidRPr="007C137F">
        <w:rPr>
          <w:rFonts w:cstheme="minorHAnsi"/>
          <w:sz w:val="24"/>
          <w:szCs w:val="24"/>
        </w:rPr>
        <w:t>conomic redevelopment.</w:t>
      </w:r>
    </w:p>
    <w:p w:rsidR="001C17AD" w:rsidRDefault="001C17AD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C17AD" w:rsidRPr="0093052E" w:rsidRDefault="001C17AD" w:rsidP="007C137F">
      <w:pPr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93052E">
        <w:rPr>
          <w:rFonts w:cstheme="minorHAnsi"/>
          <w:b/>
          <w:sz w:val="28"/>
          <w:szCs w:val="24"/>
        </w:rPr>
        <w:t xml:space="preserve">What’s </w:t>
      </w:r>
      <w:proofErr w:type="gramStart"/>
      <w:r w:rsidRPr="0093052E">
        <w:rPr>
          <w:rFonts w:cstheme="minorHAnsi"/>
          <w:b/>
          <w:sz w:val="28"/>
          <w:szCs w:val="24"/>
        </w:rPr>
        <w:t>Included</w:t>
      </w:r>
      <w:proofErr w:type="gramEnd"/>
      <w:r w:rsidRPr="0093052E">
        <w:rPr>
          <w:rFonts w:cstheme="minorHAnsi"/>
          <w:b/>
          <w:sz w:val="28"/>
          <w:szCs w:val="24"/>
        </w:rPr>
        <w:t xml:space="preserve"> in a Phase I ESA?</w:t>
      </w:r>
    </w:p>
    <w:p w:rsidR="001C17AD" w:rsidRDefault="001C17AD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C17AD" w:rsidRDefault="001C17AD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appropriate inquiries must be conducted by an environmental professional and they include:</w:t>
      </w:r>
    </w:p>
    <w:p w:rsidR="001C17AD" w:rsidRDefault="001C17AD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3052E" w:rsidRPr="0093052E" w:rsidRDefault="001C17AD" w:rsidP="001C17A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93052E">
        <w:rPr>
          <w:rFonts w:cstheme="minorHAnsi"/>
          <w:b/>
          <w:i/>
          <w:sz w:val="24"/>
          <w:szCs w:val="24"/>
        </w:rPr>
        <w:t>Site Visit</w:t>
      </w:r>
    </w:p>
    <w:p w:rsidR="0093052E" w:rsidRDefault="0093052E" w:rsidP="001C17A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C17AD" w:rsidRDefault="0093052E" w:rsidP="001C17AD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professional will conduct a</w:t>
      </w:r>
      <w:r w:rsidR="001C17AD">
        <w:rPr>
          <w:rFonts w:cstheme="minorHAnsi"/>
          <w:sz w:val="24"/>
          <w:szCs w:val="24"/>
        </w:rPr>
        <w:t xml:space="preserve"> reconnaissance of the site to determine if there is a </w:t>
      </w:r>
      <w:r w:rsidR="001C17AD" w:rsidRPr="001C17AD">
        <w:rPr>
          <w:rFonts w:cstheme="minorHAnsi"/>
          <w:sz w:val="24"/>
          <w:szCs w:val="24"/>
        </w:rPr>
        <w:t>likely presence of hazardous substances or petroleum products</w:t>
      </w:r>
      <w:r w:rsidR="000E481F">
        <w:rPr>
          <w:rFonts w:cstheme="minorHAnsi"/>
          <w:sz w:val="24"/>
          <w:szCs w:val="24"/>
        </w:rPr>
        <w:t xml:space="preserve">, </w:t>
      </w:r>
      <w:r w:rsidR="001C17AD">
        <w:rPr>
          <w:rFonts w:cstheme="minorHAnsi"/>
          <w:sz w:val="24"/>
          <w:szCs w:val="24"/>
        </w:rPr>
        <w:t xml:space="preserve">and if there is an indication </w:t>
      </w:r>
      <w:r w:rsidR="001C17AD" w:rsidRPr="001C17AD">
        <w:rPr>
          <w:rFonts w:cstheme="minorHAnsi"/>
          <w:sz w:val="24"/>
          <w:szCs w:val="24"/>
        </w:rPr>
        <w:t>a</w:t>
      </w:r>
      <w:r w:rsidR="001C17AD">
        <w:rPr>
          <w:rFonts w:cstheme="minorHAnsi"/>
          <w:sz w:val="24"/>
          <w:szCs w:val="24"/>
        </w:rPr>
        <w:t xml:space="preserve"> release or threatened release could have occurred.  The property’s exterior and in</w:t>
      </w:r>
      <w:r w:rsidR="000E481F">
        <w:rPr>
          <w:rFonts w:cstheme="minorHAnsi"/>
          <w:sz w:val="24"/>
          <w:szCs w:val="24"/>
        </w:rPr>
        <w:t>terior structures are observed at this time.</w:t>
      </w:r>
    </w:p>
    <w:p w:rsidR="001C17AD" w:rsidRDefault="001C17AD" w:rsidP="001C17A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3052E" w:rsidRPr="0093052E" w:rsidRDefault="001C17AD" w:rsidP="001C17A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93052E">
        <w:rPr>
          <w:rFonts w:cstheme="minorHAnsi"/>
          <w:b/>
          <w:i/>
          <w:sz w:val="24"/>
          <w:szCs w:val="24"/>
        </w:rPr>
        <w:t>Historical Research</w:t>
      </w:r>
    </w:p>
    <w:p w:rsidR="0093052E" w:rsidRDefault="0093052E" w:rsidP="001C17A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C17AD" w:rsidRDefault="001C17AD" w:rsidP="001C17AD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Research of property records back to the property’s first development, or 1940, whichever is earlier</w:t>
      </w:r>
      <w:r w:rsidR="00025E05">
        <w:rPr>
          <w:rFonts w:cstheme="minorHAnsi"/>
          <w:sz w:val="24"/>
          <w:szCs w:val="24"/>
        </w:rPr>
        <w:t xml:space="preserve"> is conducted. </w:t>
      </w:r>
      <w:r w:rsidR="000E481F">
        <w:rPr>
          <w:rFonts w:cstheme="minorHAnsi"/>
          <w:sz w:val="24"/>
          <w:szCs w:val="24"/>
        </w:rPr>
        <w:t xml:space="preserve"> This research includes </w:t>
      </w:r>
      <w:r>
        <w:rPr>
          <w:rFonts w:cstheme="minorHAnsi"/>
          <w:sz w:val="24"/>
          <w:szCs w:val="24"/>
        </w:rPr>
        <w:t>inspecting historical aerial photographs, topographical maps, Sanborn Fire Insurance maps, street/city directory searches, building permits, planning records, title searches</w:t>
      </w:r>
      <w:r w:rsidR="00730E34">
        <w:rPr>
          <w:rFonts w:cstheme="minorHAnsi"/>
          <w:sz w:val="24"/>
          <w:szCs w:val="24"/>
        </w:rPr>
        <w:t>, and government records review</w:t>
      </w:r>
      <w:r>
        <w:rPr>
          <w:rFonts w:cstheme="minorHAnsi"/>
          <w:sz w:val="24"/>
          <w:szCs w:val="24"/>
        </w:rPr>
        <w:t>.</w:t>
      </w:r>
    </w:p>
    <w:p w:rsidR="001C17AD" w:rsidRDefault="001C17AD" w:rsidP="001C17A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3052E" w:rsidRPr="0093052E" w:rsidRDefault="001C17AD" w:rsidP="001C17AD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93052E">
        <w:rPr>
          <w:rFonts w:cstheme="minorHAnsi"/>
          <w:b/>
          <w:i/>
          <w:sz w:val="24"/>
          <w:szCs w:val="24"/>
        </w:rPr>
        <w:t>Geology and Hydrogeology Studies – The envir</w:t>
      </w:r>
      <w:r w:rsidR="0093052E" w:rsidRPr="0093052E">
        <w:rPr>
          <w:rFonts w:cstheme="minorHAnsi"/>
          <w:b/>
          <w:i/>
          <w:sz w:val="24"/>
          <w:szCs w:val="24"/>
        </w:rPr>
        <w:t xml:space="preserve">onmental professional will look: </w:t>
      </w:r>
    </w:p>
    <w:p w:rsidR="0093052E" w:rsidRDefault="0093052E" w:rsidP="001C17A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C17AD" w:rsidRPr="0093052E" w:rsidRDefault="0093052E" w:rsidP="0093052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>S</w:t>
      </w:r>
      <w:r w:rsidR="001C17AD" w:rsidRPr="0093052E">
        <w:rPr>
          <w:rFonts w:cstheme="minorHAnsi"/>
          <w:sz w:val="24"/>
          <w:szCs w:val="24"/>
        </w:rPr>
        <w:t>oil types to determine the composition, texture, hydrologic group, and its drainage class.</w:t>
      </w:r>
    </w:p>
    <w:p w:rsidR="001C17AD" w:rsidRPr="0093052E" w:rsidRDefault="0093052E" w:rsidP="0093052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>P</w:t>
      </w:r>
      <w:r w:rsidR="001C17AD" w:rsidRPr="0093052E">
        <w:rPr>
          <w:rFonts w:cstheme="minorHAnsi"/>
          <w:sz w:val="24"/>
          <w:szCs w:val="24"/>
        </w:rPr>
        <w:t>hysical setting/topography of the property.</w:t>
      </w:r>
    </w:p>
    <w:p w:rsidR="0093052E" w:rsidRDefault="001C17AD" w:rsidP="0093052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 xml:space="preserve">Groundwater </w:t>
      </w:r>
      <w:r w:rsidR="00025E05" w:rsidRPr="0093052E">
        <w:rPr>
          <w:rFonts w:cstheme="minorHAnsi"/>
          <w:sz w:val="24"/>
          <w:szCs w:val="24"/>
        </w:rPr>
        <w:t xml:space="preserve">depth and flow direction </w:t>
      </w:r>
      <w:r w:rsidR="00025E05">
        <w:rPr>
          <w:rFonts w:cstheme="minorHAnsi"/>
          <w:sz w:val="24"/>
          <w:szCs w:val="24"/>
        </w:rPr>
        <w:t xml:space="preserve">studies </w:t>
      </w:r>
      <w:r w:rsidRPr="0093052E">
        <w:rPr>
          <w:rFonts w:cstheme="minorHAnsi"/>
          <w:sz w:val="24"/>
          <w:szCs w:val="24"/>
        </w:rPr>
        <w:t xml:space="preserve">identify hydrologically </w:t>
      </w:r>
      <w:proofErr w:type="spellStart"/>
      <w:r w:rsidRPr="0093052E">
        <w:rPr>
          <w:rFonts w:cstheme="minorHAnsi"/>
          <w:sz w:val="24"/>
          <w:szCs w:val="24"/>
        </w:rPr>
        <w:t>upgradient</w:t>
      </w:r>
      <w:proofErr w:type="spellEnd"/>
      <w:r w:rsidRPr="0093052E">
        <w:rPr>
          <w:rFonts w:cstheme="minorHAnsi"/>
          <w:sz w:val="24"/>
          <w:szCs w:val="24"/>
        </w:rPr>
        <w:t xml:space="preserve"> source areas and risk of vapor intrusion and </w:t>
      </w:r>
      <w:r w:rsidR="00025E05">
        <w:rPr>
          <w:rFonts w:cstheme="minorHAnsi"/>
          <w:sz w:val="24"/>
          <w:szCs w:val="24"/>
        </w:rPr>
        <w:t xml:space="preserve">vapor </w:t>
      </w:r>
      <w:r w:rsidRPr="0093052E">
        <w:rPr>
          <w:rFonts w:cstheme="minorHAnsi"/>
          <w:sz w:val="24"/>
          <w:szCs w:val="24"/>
        </w:rPr>
        <w:t>encroachment.</w:t>
      </w:r>
      <w:r w:rsidR="0093052E" w:rsidRPr="0093052E">
        <w:rPr>
          <w:rFonts w:cstheme="minorHAnsi"/>
          <w:sz w:val="24"/>
          <w:szCs w:val="24"/>
        </w:rPr>
        <w:t xml:space="preserve">  </w:t>
      </w:r>
    </w:p>
    <w:p w:rsidR="0093052E" w:rsidRPr="0093052E" w:rsidRDefault="0093052E" w:rsidP="0093052E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1C17AD" w:rsidRPr="0093052E" w:rsidRDefault="001C17AD" w:rsidP="0093052E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 xml:space="preserve">Vapor </w:t>
      </w:r>
      <w:r w:rsidR="00025E05" w:rsidRPr="0093052E">
        <w:rPr>
          <w:rFonts w:cstheme="minorHAnsi"/>
          <w:sz w:val="24"/>
          <w:szCs w:val="24"/>
        </w:rPr>
        <w:t>intrusion occurs when volatile chemicals migrate from contamination in the soil or groundwater up into a building’s interior space</w:t>
      </w:r>
      <w:r w:rsidRPr="0093052E">
        <w:rPr>
          <w:rFonts w:cstheme="minorHAnsi"/>
          <w:sz w:val="24"/>
          <w:szCs w:val="24"/>
        </w:rPr>
        <w:t xml:space="preserve">. Vapor </w:t>
      </w:r>
      <w:r w:rsidR="00025E05" w:rsidRPr="0093052E">
        <w:rPr>
          <w:rFonts w:cstheme="minorHAnsi"/>
          <w:sz w:val="24"/>
          <w:szCs w:val="24"/>
        </w:rPr>
        <w:t>intrusion</w:t>
      </w:r>
      <w:r w:rsidRPr="0093052E">
        <w:rPr>
          <w:rFonts w:cstheme="minorHAnsi"/>
          <w:sz w:val="24"/>
          <w:szCs w:val="24"/>
        </w:rPr>
        <w:t xml:space="preserve"> can be caused by contamination on-site or off-site from a property. A contamination plume can originate from an off-site source and migrate onto the property and underneath buildings</w:t>
      </w:r>
      <w:r w:rsidR="0093052E" w:rsidRPr="0093052E">
        <w:rPr>
          <w:rFonts w:cstheme="minorHAnsi"/>
          <w:sz w:val="24"/>
          <w:szCs w:val="24"/>
        </w:rPr>
        <w:t xml:space="preserve">. </w:t>
      </w:r>
      <w:r w:rsidRPr="0093052E">
        <w:rPr>
          <w:rFonts w:cstheme="minorHAnsi"/>
          <w:sz w:val="24"/>
          <w:szCs w:val="24"/>
        </w:rPr>
        <w:t xml:space="preserve">Vapor </w:t>
      </w:r>
      <w:r w:rsidR="00025E05" w:rsidRPr="0093052E">
        <w:rPr>
          <w:rFonts w:cstheme="minorHAnsi"/>
          <w:sz w:val="24"/>
          <w:szCs w:val="24"/>
        </w:rPr>
        <w:t>encroachment is a broader conc</w:t>
      </w:r>
      <w:r w:rsidRPr="0093052E">
        <w:rPr>
          <w:rFonts w:cstheme="minorHAnsi"/>
          <w:sz w:val="24"/>
          <w:szCs w:val="24"/>
        </w:rPr>
        <w:t>ern when compared to vapor instruction. Vapor encroachment is focused on the potential for vapors to exist within a building.</w:t>
      </w:r>
    </w:p>
    <w:p w:rsidR="001C17AD" w:rsidRDefault="001C17AD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C17AD" w:rsidRPr="0093052E" w:rsidRDefault="0093052E" w:rsidP="007C137F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93052E">
        <w:rPr>
          <w:rFonts w:cstheme="minorHAnsi"/>
          <w:b/>
          <w:i/>
          <w:sz w:val="24"/>
          <w:szCs w:val="24"/>
        </w:rPr>
        <w:lastRenderedPageBreak/>
        <w:t>Interviews and Other Documents</w:t>
      </w:r>
    </w:p>
    <w:p w:rsidR="0093052E" w:rsidRDefault="0093052E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3052E" w:rsidRDefault="0093052E" w:rsidP="0093052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environmental professional will i</w:t>
      </w:r>
      <w:r w:rsidRPr="0093052E">
        <w:rPr>
          <w:rFonts w:cstheme="minorHAnsi"/>
          <w:sz w:val="24"/>
          <w:szCs w:val="24"/>
        </w:rPr>
        <w:t xml:space="preserve">nterview tenants, </w:t>
      </w:r>
      <w:r>
        <w:rPr>
          <w:rFonts w:cstheme="minorHAnsi"/>
          <w:sz w:val="24"/>
          <w:szCs w:val="24"/>
        </w:rPr>
        <w:t xml:space="preserve">the </w:t>
      </w:r>
      <w:r w:rsidRPr="0093052E">
        <w:rPr>
          <w:rFonts w:cstheme="minorHAnsi"/>
          <w:sz w:val="24"/>
          <w:szCs w:val="24"/>
        </w:rPr>
        <w:t>current owner(s), and previous tenants/owners</w:t>
      </w:r>
      <w:r>
        <w:rPr>
          <w:rFonts w:cstheme="minorHAnsi"/>
          <w:sz w:val="24"/>
          <w:szCs w:val="24"/>
        </w:rPr>
        <w:t xml:space="preserve">, and </w:t>
      </w:r>
      <w:r w:rsidR="00025E05" w:rsidRPr="0093052E">
        <w:rPr>
          <w:rFonts w:cstheme="minorHAnsi"/>
          <w:sz w:val="24"/>
          <w:szCs w:val="24"/>
        </w:rPr>
        <w:t>state and local regulators</w:t>
      </w:r>
      <w:r w:rsidR="00025E05">
        <w:rPr>
          <w:rFonts w:cstheme="minorHAnsi"/>
          <w:sz w:val="24"/>
          <w:szCs w:val="24"/>
        </w:rPr>
        <w:t xml:space="preserve">.  </w:t>
      </w:r>
      <w:r>
        <w:rPr>
          <w:rFonts w:cstheme="minorHAnsi"/>
          <w:sz w:val="24"/>
          <w:szCs w:val="24"/>
        </w:rPr>
        <w:t xml:space="preserve">Any additional provided </w:t>
      </w:r>
      <w:r w:rsidR="00E3328F">
        <w:rPr>
          <w:rFonts w:cstheme="minorHAnsi"/>
          <w:sz w:val="24"/>
          <w:szCs w:val="24"/>
        </w:rPr>
        <w:t>documentation such</w:t>
      </w:r>
      <w:r>
        <w:rPr>
          <w:rFonts w:cstheme="minorHAnsi"/>
          <w:sz w:val="24"/>
          <w:szCs w:val="24"/>
        </w:rPr>
        <w:t xml:space="preserve"> as </w:t>
      </w:r>
      <w:r w:rsidRPr="0093052E">
        <w:rPr>
          <w:rFonts w:cstheme="minorHAnsi"/>
          <w:sz w:val="24"/>
          <w:szCs w:val="24"/>
        </w:rPr>
        <w:t xml:space="preserve">previous Phase I ESAs, </w:t>
      </w:r>
      <w:r w:rsidR="00025E05" w:rsidRPr="0093052E">
        <w:rPr>
          <w:rFonts w:cstheme="minorHAnsi"/>
          <w:sz w:val="24"/>
          <w:szCs w:val="24"/>
        </w:rPr>
        <w:t>spill reports, state or lo</w:t>
      </w:r>
      <w:r w:rsidR="00025E05">
        <w:rPr>
          <w:rFonts w:cstheme="minorHAnsi"/>
          <w:sz w:val="24"/>
          <w:szCs w:val="24"/>
        </w:rPr>
        <w:t>cal contamination reports</w:t>
      </w:r>
      <w:r>
        <w:rPr>
          <w:rFonts w:cstheme="minorHAnsi"/>
          <w:sz w:val="24"/>
          <w:szCs w:val="24"/>
        </w:rPr>
        <w:t>, etc. will be reviewed.</w:t>
      </w:r>
    </w:p>
    <w:p w:rsidR="0093052E" w:rsidRDefault="0093052E" w:rsidP="0093052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3052E" w:rsidRPr="0093052E" w:rsidRDefault="0093052E" w:rsidP="0093052E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93052E">
        <w:rPr>
          <w:rFonts w:cstheme="minorHAnsi"/>
          <w:b/>
          <w:i/>
          <w:sz w:val="24"/>
          <w:szCs w:val="24"/>
        </w:rPr>
        <w:t>Other Reviews</w:t>
      </w:r>
    </w:p>
    <w:p w:rsidR="0093052E" w:rsidRDefault="0093052E" w:rsidP="0093052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3052E" w:rsidRDefault="0093052E" w:rsidP="0093052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While an environmental professional is already conducting this research</w:t>
      </w:r>
      <w:r w:rsidR="00025E05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the entity requesting a Phase I ESA may also want them to look at other sources for </w:t>
      </w:r>
      <w:r w:rsidR="00E3328F">
        <w:rPr>
          <w:rFonts w:cstheme="minorHAnsi"/>
          <w:sz w:val="24"/>
          <w:szCs w:val="24"/>
        </w:rPr>
        <w:t>potential environmental</w:t>
      </w:r>
      <w:r>
        <w:rPr>
          <w:rFonts w:cstheme="minorHAnsi"/>
          <w:sz w:val="24"/>
          <w:szCs w:val="24"/>
        </w:rPr>
        <w:t xml:space="preserve"> issues.  The following items </w:t>
      </w:r>
      <w:r w:rsidR="00025E05">
        <w:rPr>
          <w:rFonts w:cstheme="minorHAnsi"/>
          <w:sz w:val="24"/>
          <w:szCs w:val="24"/>
        </w:rPr>
        <w:t xml:space="preserve">can also </w:t>
      </w:r>
      <w:r>
        <w:rPr>
          <w:rFonts w:cstheme="minorHAnsi"/>
          <w:sz w:val="24"/>
          <w:szCs w:val="24"/>
        </w:rPr>
        <w:t>be included in a Phase I ESA, but are not a part of the EPA CERCLA regulation for sources of liability.</w:t>
      </w:r>
    </w:p>
    <w:p w:rsidR="0093052E" w:rsidRDefault="0093052E" w:rsidP="0093052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3052E" w:rsidRPr="0093052E" w:rsidRDefault="0093052E" w:rsidP="009305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>Asbestos</w:t>
      </w:r>
      <w:r>
        <w:rPr>
          <w:rFonts w:cstheme="minorHAnsi"/>
          <w:sz w:val="24"/>
          <w:szCs w:val="24"/>
        </w:rPr>
        <w:t>-</w:t>
      </w:r>
      <w:r w:rsidRPr="0093052E">
        <w:rPr>
          <w:rFonts w:cstheme="minorHAnsi"/>
          <w:sz w:val="24"/>
          <w:szCs w:val="24"/>
        </w:rPr>
        <w:t>Containing Building Materials</w:t>
      </w:r>
    </w:p>
    <w:p w:rsidR="0093052E" w:rsidRPr="0093052E" w:rsidRDefault="0093052E" w:rsidP="009305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>Biological Agents</w:t>
      </w:r>
    </w:p>
    <w:p w:rsidR="0093052E" w:rsidRPr="0093052E" w:rsidRDefault="0093052E" w:rsidP="009305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>Cultural and Historic Resources</w:t>
      </w:r>
    </w:p>
    <w:p w:rsidR="0093052E" w:rsidRPr="0093052E" w:rsidRDefault="0093052E" w:rsidP="009305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>Ecological Resources</w:t>
      </w:r>
    </w:p>
    <w:p w:rsidR="0093052E" w:rsidRPr="0093052E" w:rsidRDefault="0093052E" w:rsidP="009305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>Health and Safety</w:t>
      </w:r>
      <w:r>
        <w:rPr>
          <w:rFonts w:cstheme="minorHAnsi"/>
          <w:sz w:val="24"/>
          <w:szCs w:val="24"/>
        </w:rPr>
        <w:t xml:space="preserve"> Issues</w:t>
      </w:r>
    </w:p>
    <w:p w:rsidR="0093052E" w:rsidRPr="0093052E" w:rsidRDefault="0093052E" w:rsidP="009305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Indoor Air Quality (</w:t>
      </w:r>
      <w:r w:rsidRPr="0093052E">
        <w:rPr>
          <w:rFonts w:cstheme="minorHAnsi"/>
          <w:sz w:val="24"/>
          <w:szCs w:val="24"/>
        </w:rPr>
        <w:t xml:space="preserve">unrelated to </w:t>
      </w:r>
      <w:r>
        <w:rPr>
          <w:rFonts w:cstheme="minorHAnsi"/>
          <w:sz w:val="24"/>
          <w:szCs w:val="24"/>
        </w:rPr>
        <w:t>vapor intrusion)</w:t>
      </w:r>
    </w:p>
    <w:p w:rsidR="0093052E" w:rsidRPr="0093052E" w:rsidRDefault="0093052E" w:rsidP="009305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>Industrial Hygiene</w:t>
      </w:r>
    </w:p>
    <w:p w:rsidR="0093052E" w:rsidRPr="0093052E" w:rsidRDefault="0093052E" w:rsidP="009305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>Lead-Based Paint</w:t>
      </w:r>
    </w:p>
    <w:p w:rsidR="0093052E" w:rsidRPr="0093052E" w:rsidRDefault="0093052E" w:rsidP="009305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>Lead in Drinking Water</w:t>
      </w:r>
    </w:p>
    <w:p w:rsidR="0093052E" w:rsidRPr="0093052E" w:rsidRDefault="0093052E" w:rsidP="009305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>Mold</w:t>
      </w:r>
    </w:p>
    <w:p w:rsidR="0093052E" w:rsidRPr="0093052E" w:rsidRDefault="0093052E" w:rsidP="009305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>Radon</w:t>
      </w:r>
    </w:p>
    <w:p w:rsidR="0093052E" w:rsidRPr="0093052E" w:rsidRDefault="0093052E" w:rsidP="009305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EPA/OSHA/DOT Hazardous Materials </w:t>
      </w:r>
      <w:r w:rsidRPr="0093052E">
        <w:rPr>
          <w:rFonts w:cstheme="minorHAnsi"/>
          <w:sz w:val="24"/>
          <w:szCs w:val="24"/>
        </w:rPr>
        <w:t>Regulatory Compliance</w:t>
      </w:r>
      <w:r>
        <w:rPr>
          <w:rFonts w:cstheme="minorHAnsi"/>
          <w:sz w:val="24"/>
          <w:szCs w:val="24"/>
        </w:rPr>
        <w:t xml:space="preserve"> Items</w:t>
      </w:r>
    </w:p>
    <w:p w:rsidR="0093052E" w:rsidRPr="0093052E" w:rsidRDefault="0093052E" w:rsidP="009305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3052E">
        <w:rPr>
          <w:rFonts w:cstheme="minorHAnsi"/>
          <w:sz w:val="24"/>
          <w:szCs w:val="24"/>
        </w:rPr>
        <w:t>Wetlands</w:t>
      </w:r>
    </w:p>
    <w:p w:rsidR="0093052E" w:rsidRDefault="0093052E" w:rsidP="0093052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423C9" w:rsidRPr="0093052E" w:rsidRDefault="00FD5071" w:rsidP="007C137F">
      <w:pPr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93052E">
        <w:rPr>
          <w:rFonts w:cstheme="minorHAnsi"/>
          <w:b/>
          <w:sz w:val="28"/>
          <w:szCs w:val="24"/>
        </w:rPr>
        <w:t>Limitations of a Phase I ESA</w:t>
      </w:r>
    </w:p>
    <w:p w:rsidR="002423C9" w:rsidRDefault="002423C9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C17AD" w:rsidRDefault="0093052E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Phase I ESAs</w:t>
      </w:r>
      <w:r w:rsidR="001C17AD">
        <w:rPr>
          <w:rFonts w:cstheme="minorHAnsi"/>
          <w:sz w:val="24"/>
          <w:szCs w:val="24"/>
        </w:rPr>
        <w:t xml:space="preserve"> are valid for 180 days.  Between 180 days and a year, the interviews, title search, government records </w:t>
      </w:r>
      <w:r w:rsidR="00E3328F">
        <w:rPr>
          <w:rFonts w:cstheme="minorHAnsi"/>
          <w:sz w:val="24"/>
          <w:szCs w:val="24"/>
        </w:rPr>
        <w:t xml:space="preserve">research </w:t>
      </w:r>
      <w:r w:rsidR="001C17AD">
        <w:rPr>
          <w:rFonts w:cstheme="minorHAnsi"/>
          <w:sz w:val="24"/>
          <w:szCs w:val="24"/>
        </w:rPr>
        <w:t xml:space="preserve">and visual inspection will need to be updated.  Any Phase I </w:t>
      </w:r>
      <w:r w:rsidR="00E3328F">
        <w:rPr>
          <w:rFonts w:cstheme="minorHAnsi"/>
          <w:sz w:val="24"/>
          <w:szCs w:val="24"/>
        </w:rPr>
        <w:t xml:space="preserve">ESA </w:t>
      </w:r>
      <w:r w:rsidR="001C17AD">
        <w:rPr>
          <w:rFonts w:cstheme="minorHAnsi"/>
          <w:sz w:val="24"/>
          <w:szCs w:val="24"/>
        </w:rPr>
        <w:t>over one year old is consider invalid and outdated</w:t>
      </w:r>
      <w:r w:rsidR="00025E05">
        <w:rPr>
          <w:rFonts w:cstheme="minorHAnsi"/>
          <w:sz w:val="24"/>
          <w:szCs w:val="24"/>
        </w:rPr>
        <w:t xml:space="preserve"> and will need to be redone</w:t>
      </w:r>
      <w:r w:rsidR="001C17AD">
        <w:rPr>
          <w:rFonts w:cstheme="minorHAnsi"/>
          <w:sz w:val="24"/>
          <w:szCs w:val="24"/>
        </w:rPr>
        <w:t>.</w:t>
      </w:r>
    </w:p>
    <w:p w:rsidR="001C17AD" w:rsidRDefault="001C17AD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D5071" w:rsidRDefault="002423C9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Phase I ESAs can r</w:t>
      </w:r>
      <w:r w:rsidRPr="002423C9">
        <w:rPr>
          <w:rFonts w:cstheme="minorHAnsi"/>
          <w:sz w:val="24"/>
          <w:szCs w:val="24"/>
        </w:rPr>
        <w:t>eveal the likelihood of existing and/or past eviden</w:t>
      </w:r>
      <w:r>
        <w:rPr>
          <w:rFonts w:cstheme="minorHAnsi"/>
          <w:sz w:val="24"/>
          <w:szCs w:val="24"/>
        </w:rPr>
        <w:t xml:space="preserve">ce of contamination, but they </w:t>
      </w:r>
    </w:p>
    <w:p w:rsidR="00FD5071" w:rsidRDefault="00FD5071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D5071" w:rsidRPr="00FD5071" w:rsidRDefault="00FD5071" w:rsidP="00FD507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5071">
        <w:rPr>
          <w:rFonts w:cstheme="minorHAnsi"/>
          <w:sz w:val="24"/>
          <w:szCs w:val="24"/>
        </w:rPr>
        <w:t>Cannot prove that hazards are present;</w:t>
      </w:r>
    </w:p>
    <w:p w:rsidR="00FD5071" w:rsidRPr="00FD5071" w:rsidRDefault="00FD5071" w:rsidP="00FD507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5071">
        <w:rPr>
          <w:rFonts w:cstheme="minorHAnsi"/>
          <w:sz w:val="24"/>
          <w:szCs w:val="24"/>
        </w:rPr>
        <w:t>C</w:t>
      </w:r>
      <w:r w:rsidR="002423C9" w:rsidRPr="00FD5071">
        <w:rPr>
          <w:rFonts w:cstheme="minorHAnsi"/>
          <w:sz w:val="24"/>
          <w:szCs w:val="24"/>
        </w:rPr>
        <w:t xml:space="preserve">annot ensure hazards or pollutants </w:t>
      </w:r>
      <w:r w:rsidRPr="00FD5071">
        <w:rPr>
          <w:rFonts w:cstheme="minorHAnsi"/>
          <w:sz w:val="24"/>
          <w:szCs w:val="24"/>
        </w:rPr>
        <w:t>will not be discovered at a later date; and,</w:t>
      </w:r>
    </w:p>
    <w:p w:rsidR="00FD5071" w:rsidRPr="00FD5071" w:rsidRDefault="00FD5071" w:rsidP="00FD507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D5071">
        <w:rPr>
          <w:rFonts w:cstheme="minorHAnsi"/>
          <w:sz w:val="24"/>
          <w:szCs w:val="24"/>
        </w:rPr>
        <w:t xml:space="preserve">Cannot ensure landowners can avoid all responsibility.  </w:t>
      </w:r>
    </w:p>
    <w:p w:rsidR="00FD5071" w:rsidRDefault="00FD5071" w:rsidP="007C137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41684" w:rsidRDefault="00FD5071" w:rsidP="0093052E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Phase II </w:t>
      </w:r>
      <w:r w:rsidR="00025E05">
        <w:rPr>
          <w:rFonts w:cstheme="minorHAnsi"/>
          <w:sz w:val="24"/>
          <w:szCs w:val="24"/>
        </w:rPr>
        <w:t xml:space="preserve">Environmental Assessments (Phase II </w:t>
      </w:r>
      <w:r>
        <w:rPr>
          <w:rFonts w:cstheme="minorHAnsi"/>
          <w:sz w:val="24"/>
          <w:szCs w:val="24"/>
        </w:rPr>
        <w:t>ESAs</w:t>
      </w:r>
      <w:r w:rsidR="00025E05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involve further environmental sampling, including sampling of soil, water, groundwater and/or soil vapor to help better determine if </w:t>
      </w:r>
      <w:r w:rsidR="001C17AD">
        <w:rPr>
          <w:rFonts w:cstheme="minorHAnsi"/>
          <w:sz w:val="24"/>
          <w:szCs w:val="24"/>
        </w:rPr>
        <w:t>contaminants</w:t>
      </w:r>
      <w:r>
        <w:rPr>
          <w:rFonts w:cstheme="minorHAnsi"/>
          <w:sz w:val="24"/>
          <w:szCs w:val="24"/>
        </w:rPr>
        <w:t xml:space="preserve"> are present.  If a recognized environmental condition is found from the Phase I ESA study, a recommendation for Phase II ESAs will often be suggested.</w:t>
      </w:r>
    </w:p>
    <w:p w:rsidR="0093052E" w:rsidRDefault="0093052E" w:rsidP="0093052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3052E" w:rsidRPr="0093052E" w:rsidRDefault="0093052E" w:rsidP="0093052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have questions about Phase I ESAs, or would like pricing to conduct one for your next property transaction, </w:t>
      </w:r>
      <w:hyperlink r:id="rId5" w:history="1">
        <w:r w:rsidRPr="0093052E">
          <w:rPr>
            <w:rStyle w:val="Hyperlink"/>
            <w:rFonts w:cstheme="minorHAnsi"/>
            <w:b/>
            <w:sz w:val="24"/>
            <w:szCs w:val="24"/>
          </w:rPr>
          <w:t>please contact us</w:t>
        </w:r>
      </w:hyperlink>
      <w:r w:rsidRPr="0093052E">
        <w:rPr>
          <w:rFonts w:cstheme="minorHAnsi"/>
          <w:b/>
          <w:sz w:val="24"/>
          <w:szCs w:val="24"/>
        </w:rPr>
        <w:t>!</w:t>
      </w:r>
    </w:p>
    <w:sectPr w:rsidR="0093052E" w:rsidRPr="0093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3677"/>
    <w:multiLevelType w:val="hybridMultilevel"/>
    <w:tmpl w:val="51BAAF5C"/>
    <w:lvl w:ilvl="0" w:tplc="E5B6FD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0623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D0A8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3482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9C3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F27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B87D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980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F26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947CF"/>
    <w:multiLevelType w:val="hybridMultilevel"/>
    <w:tmpl w:val="339E8E72"/>
    <w:lvl w:ilvl="0" w:tplc="4E2450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52FD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CDF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70D3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34DD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45F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EE7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C6E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24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34A80"/>
    <w:multiLevelType w:val="hybridMultilevel"/>
    <w:tmpl w:val="87FC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72CE4"/>
    <w:multiLevelType w:val="hybridMultilevel"/>
    <w:tmpl w:val="CC10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C29FA"/>
    <w:multiLevelType w:val="hybridMultilevel"/>
    <w:tmpl w:val="52946D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5022CF"/>
    <w:multiLevelType w:val="hybridMultilevel"/>
    <w:tmpl w:val="3ABA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042C2"/>
    <w:multiLevelType w:val="hybridMultilevel"/>
    <w:tmpl w:val="B86A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84"/>
    <w:rsid w:val="00025E05"/>
    <w:rsid w:val="000E481F"/>
    <w:rsid w:val="0014604C"/>
    <w:rsid w:val="001C17AD"/>
    <w:rsid w:val="002423C9"/>
    <w:rsid w:val="00730E34"/>
    <w:rsid w:val="007C137F"/>
    <w:rsid w:val="00907670"/>
    <w:rsid w:val="009244F4"/>
    <w:rsid w:val="0093052E"/>
    <w:rsid w:val="00AE6E0C"/>
    <w:rsid w:val="00D41684"/>
    <w:rsid w:val="00E3328F"/>
    <w:rsid w:val="00EB32D5"/>
    <w:rsid w:val="00FD5071"/>
    <w:rsid w:val="00F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docId w15:val="{E0151D94-B0FB-4B83-8B10-A5B9FFB4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16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5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5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5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2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52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11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sienvironmental.com/contact-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2</cp:revision>
  <dcterms:created xsi:type="dcterms:W3CDTF">2020-11-05T23:58:00Z</dcterms:created>
  <dcterms:modified xsi:type="dcterms:W3CDTF">2020-11-05T23:58:00Z</dcterms:modified>
</cp:coreProperties>
</file>