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1FA" w:rsidRPr="00E94B92" w:rsidRDefault="009571FA" w:rsidP="009571FA">
      <w:pPr>
        <w:jc w:val="center"/>
        <w:rPr>
          <w:rFonts w:ascii="Arial" w:hAnsi="Arial" w:cs="Arial"/>
          <w:b/>
          <w:sz w:val="24"/>
        </w:rPr>
      </w:pPr>
      <w:r w:rsidRPr="00E94B92">
        <w:rPr>
          <w:rFonts w:ascii="Arial" w:hAnsi="Arial" w:cs="Arial"/>
          <w:b/>
          <w:sz w:val="24"/>
        </w:rPr>
        <w:t>EPCRA Tier II:  What Is It, Does It Apply to Me?</w:t>
      </w:r>
    </w:p>
    <w:p w:rsidR="009571FA" w:rsidRDefault="009571FA" w:rsidP="00EA22CE">
      <w:pPr>
        <w:jc w:val="both"/>
        <w:rPr>
          <w:rFonts w:ascii="Arial" w:hAnsi="Arial" w:cs="Arial"/>
        </w:rPr>
      </w:pPr>
    </w:p>
    <w:p w:rsidR="002634C1" w:rsidRPr="009571FA" w:rsidRDefault="00EA22CE" w:rsidP="00EA22CE">
      <w:pPr>
        <w:jc w:val="both"/>
        <w:rPr>
          <w:rFonts w:ascii="Arial" w:hAnsi="Arial" w:cs="Arial"/>
        </w:rPr>
      </w:pPr>
      <w:r w:rsidRPr="009571FA">
        <w:rPr>
          <w:rFonts w:ascii="Arial" w:hAnsi="Arial" w:cs="Arial"/>
        </w:rPr>
        <w:t xml:space="preserve">The Emergency Planning and Community Right to Know Act (EPCRA) requires facilities to report emergency and hazardous chemical information each year to their state and local emergency response officials and local fire departments.  This is a federal requirement, but each state has its own nuances </w:t>
      </w:r>
      <w:r w:rsidR="00E94B92">
        <w:rPr>
          <w:rFonts w:ascii="Arial" w:hAnsi="Arial" w:cs="Arial"/>
        </w:rPr>
        <w:t>in</w:t>
      </w:r>
      <w:r w:rsidRPr="009571FA">
        <w:rPr>
          <w:rFonts w:ascii="Arial" w:hAnsi="Arial" w:cs="Arial"/>
        </w:rPr>
        <w:t xml:space="preserve"> method of submittal, what’s required with the submission and who to send it to.  </w:t>
      </w:r>
      <w:r w:rsidR="00E94B92">
        <w:rPr>
          <w:rFonts w:ascii="Arial" w:hAnsi="Arial" w:cs="Arial"/>
        </w:rPr>
        <w:t xml:space="preserve">For reporting, </w:t>
      </w:r>
      <w:r w:rsidR="003645EB" w:rsidRPr="009571FA">
        <w:rPr>
          <w:rFonts w:ascii="Arial" w:hAnsi="Arial" w:cs="Arial"/>
        </w:rPr>
        <w:t xml:space="preserve">EPCRA has a Tier I form and a Tier II form.  The Tier II has all of the information Tier I does, but with more detail, so many states just require the more complete Tier II form.  </w:t>
      </w:r>
    </w:p>
    <w:p w:rsidR="002634C1" w:rsidRPr="009571FA" w:rsidRDefault="002634C1">
      <w:pPr>
        <w:rPr>
          <w:rFonts w:ascii="Arial" w:hAnsi="Arial" w:cs="Arial"/>
        </w:rPr>
      </w:pPr>
    </w:p>
    <w:p w:rsidR="00EA22CE" w:rsidRPr="0056111C" w:rsidRDefault="009571FA">
      <w:pPr>
        <w:rPr>
          <w:rFonts w:ascii="Arial" w:hAnsi="Arial" w:cs="Arial"/>
          <w:b/>
          <w:color w:val="C30538"/>
        </w:rPr>
      </w:pPr>
      <w:r w:rsidRPr="0056111C">
        <w:rPr>
          <w:rFonts w:ascii="Arial" w:hAnsi="Arial" w:cs="Arial"/>
          <w:b/>
          <w:color w:val="C30538"/>
        </w:rPr>
        <w:t>Does This Apply to Me?</w:t>
      </w:r>
    </w:p>
    <w:p w:rsidR="00EA22CE" w:rsidRPr="009571FA" w:rsidRDefault="00EA22CE">
      <w:pPr>
        <w:rPr>
          <w:rFonts w:ascii="Arial" w:hAnsi="Arial" w:cs="Arial"/>
        </w:rPr>
      </w:pPr>
    </w:p>
    <w:p w:rsidR="00D91569" w:rsidRPr="009571FA" w:rsidRDefault="00E94B92" w:rsidP="0056111C">
      <w:pPr>
        <w:pStyle w:val="Default"/>
        <w:jc w:val="both"/>
        <w:rPr>
          <w:rFonts w:ascii="Arial" w:hAnsi="Arial" w:cs="Arial"/>
          <w:sz w:val="22"/>
          <w:szCs w:val="22"/>
        </w:rPr>
      </w:pPr>
      <w:r>
        <w:rPr>
          <w:rFonts w:ascii="Arial" w:hAnsi="Arial" w:cs="Arial"/>
          <w:sz w:val="22"/>
          <w:szCs w:val="22"/>
        </w:rPr>
        <w:t>First, all chemicals you’re required to keep a Safety Data Sheet (SDS) for per OSHA requirements are subject to reporting</w:t>
      </w:r>
      <w:r w:rsidR="00D91569" w:rsidRPr="009571FA">
        <w:rPr>
          <w:rFonts w:ascii="Arial" w:hAnsi="Arial" w:cs="Arial"/>
          <w:sz w:val="22"/>
          <w:szCs w:val="22"/>
        </w:rPr>
        <w:t xml:space="preserve">.  Next, </w:t>
      </w:r>
      <w:r w:rsidR="00EA22CE" w:rsidRPr="009571FA">
        <w:rPr>
          <w:rFonts w:ascii="Arial" w:hAnsi="Arial" w:cs="Arial"/>
          <w:sz w:val="22"/>
          <w:szCs w:val="22"/>
        </w:rPr>
        <w:t xml:space="preserve">determine if the </w:t>
      </w:r>
      <w:r w:rsidR="00D91569" w:rsidRPr="009571FA">
        <w:rPr>
          <w:rFonts w:ascii="Arial" w:hAnsi="Arial" w:cs="Arial"/>
          <w:sz w:val="22"/>
          <w:szCs w:val="22"/>
        </w:rPr>
        <w:t xml:space="preserve">quantities </w:t>
      </w:r>
      <w:r>
        <w:rPr>
          <w:rFonts w:ascii="Arial" w:hAnsi="Arial" w:cs="Arial"/>
          <w:sz w:val="22"/>
          <w:szCs w:val="22"/>
        </w:rPr>
        <w:t>on-</w:t>
      </w:r>
      <w:r w:rsidR="00EA22CE" w:rsidRPr="009571FA">
        <w:rPr>
          <w:rFonts w:ascii="Arial" w:hAnsi="Arial" w:cs="Arial"/>
          <w:sz w:val="22"/>
          <w:szCs w:val="22"/>
        </w:rPr>
        <w:t xml:space="preserve">site at any one time last year met the </w:t>
      </w:r>
      <w:proofErr w:type="spellStart"/>
      <w:r w:rsidR="00EA22CE" w:rsidRPr="009571FA">
        <w:rPr>
          <w:rFonts w:ascii="Arial" w:hAnsi="Arial" w:cs="Arial"/>
          <w:sz w:val="22"/>
          <w:szCs w:val="22"/>
        </w:rPr>
        <w:t>threshholds</w:t>
      </w:r>
      <w:proofErr w:type="spellEnd"/>
      <w:r w:rsidR="00EA22CE" w:rsidRPr="009571FA">
        <w:rPr>
          <w:rFonts w:ascii="Arial" w:hAnsi="Arial" w:cs="Arial"/>
          <w:sz w:val="22"/>
          <w:szCs w:val="22"/>
        </w:rPr>
        <w:t xml:space="preserve"> for reporting.  </w:t>
      </w:r>
    </w:p>
    <w:p w:rsidR="00D91569" w:rsidRPr="009571FA" w:rsidRDefault="00D91569" w:rsidP="0056111C">
      <w:pPr>
        <w:pStyle w:val="Default"/>
        <w:jc w:val="both"/>
        <w:rPr>
          <w:rFonts w:ascii="Arial" w:hAnsi="Arial" w:cs="Arial"/>
          <w:sz w:val="22"/>
          <w:szCs w:val="22"/>
        </w:rPr>
      </w:pPr>
    </w:p>
    <w:p w:rsidR="002634C1" w:rsidRPr="009571FA" w:rsidRDefault="00D91569" w:rsidP="0056111C">
      <w:pPr>
        <w:jc w:val="both"/>
        <w:rPr>
          <w:rFonts w:ascii="Arial" w:hAnsi="Arial" w:cs="Arial"/>
          <w:color w:val="000000"/>
        </w:rPr>
      </w:pPr>
      <w:r w:rsidRPr="009571FA">
        <w:rPr>
          <w:rFonts w:ascii="Arial" w:hAnsi="Arial" w:cs="Arial"/>
          <w:color w:val="000000"/>
        </w:rPr>
        <w:t xml:space="preserve">Extremely Hazardous Substances </w:t>
      </w:r>
      <w:r w:rsidRPr="009571FA">
        <w:rPr>
          <w:rFonts w:ascii="Arial" w:hAnsi="Arial" w:cs="Arial"/>
          <w:color w:val="000000"/>
        </w:rPr>
        <w:t xml:space="preserve">listed in </w:t>
      </w:r>
      <w:r w:rsidRPr="009571FA">
        <w:rPr>
          <w:rFonts w:ascii="Arial" w:hAnsi="Arial" w:cs="Arial"/>
          <w:color w:val="000000"/>
        </w:rPr>
        <w:t>40 CFR part 355 Appendix A and Appendix B</w:t>
      </w:r>
      <w:r w:rsidRPr="009571FA">
        <w:rPr>
          <w:rFonts w:ascii="Arial" w:hAnsi="Arial" w:cs="Arial"/>
          <w:color w:val="000000"/>
        </w:rPr>
        <w:t xml:space="preserve">, the reporting quantity is </w:t>
      </w:r>
      <w:r w:rsidRPr="009571FA">
        <w:rPr>
          <w:rFonts w:ascii="Arial" w:hAnsi="Arial" w:cs="Arial"/>
          <w:color w:val="000000"/>
        </w:rPr>
        <w:t xml:space="preserve">500 pounds or the </w:t>
      </w:r>
      <w:r w:rsidRPr="009571FA">
        <w:rPr>
          <w:rFonts w:ascii="Arial" w:hAnsi="Arial" w:cs="Arial"/>
          <w:color w:val="000000"/>
        </w:rPr>
        <w:t xml:space="preserve">amount of the </w:t>
      </w:r>
      <w:r w:rsidRPr="009571FA">
        <w:rPr>
          <w:rFonts w:ascii="Arial" w:hAnsi="Arial" w:cs="Arial"/>
          <w:color w:val="000000"/>
        </w:rPr>
        <w:t>Threshold Planning Quan</w:t>
      </w:r>
      <w:r w:rsidRPr="009571FA">
        <w:rPr>
          <w:rFonts w:ascii="Arial" w:hAnsi="Arial" w:cs="Arial"/>
          <w:color w:val="000000"/>
        </w:rPr>
        <w:t xml:space="preserve">tity (TPQ), (whichever is lower).  Gasoline and diesel fuel at retail gas stations have their own individual requirements.  </w:t>
      </w:r>
      <w:r w:rsidRPr="009571FA">
        <w:rPr>
          <w:rFonts w:ascii="Arial" w:hAnsi="Arial" w:cs="Arial"/>
          <w:color w:val="000000"/>
        </w:rPr>
        <w:t>For</w:t>
      </w:r>
      <w:r w:rsidRPr="009571FA">
        <w:rPr>
          <w:rFonts w:ascii="Arial" w:hAnsi="Arial" w:cs="Arial"/>
          <w:color w:val="000000"/>
        </w:rPr>
        <w:t xml:space="preserve"> all other hazardous chemicals</w:t>
      </w:r>
      <w:r w:rsidR="00E94B92">
        <w:rPr>
          <w:rFonts w:ascii="Arial" w:hAnsi="Arial" w:cs="Arial"/>
          <w:color w:val="000000"/>
        </w:rPr>
        <w:t>,</w:t>
      </w:r>
      <w:r w:rsidRPr="009571FA">
        <w:rPr>
          <w:rFonts w:ascii="Arial" w:hAnsi="Arial" w:cs="Arial"/>
          <w:color w:val="000000"/>
        </w:rPr>
        <w:t xml:space="preserve"> the threshold is </w:t>
      </w:r>
      <w:r w:rsidRPr="009571FA">
        <w:rPr>
          <w:rFonts w:ascii="Arial" w:hAnsi="Arial" w:cs="Arial"/>
          <w:color w:val="000000"/>
        </w:rPr>
        <w:t>10,000 pounds.</w:t>
      </w:r>
    </w:p>
    <w:p w:rsidR="00D91569" w:rsidRPr="009571FA" w:rsidRDefault="00D91569" w:rsidP="0056111C">
      <w:pPr>
        <w:jc w:val="both"/>
        <w:rPr>
          <w:rFonts w:ascii="Arial" w:hAnsi="Arial" w:cs="Arial"/>
          <w:color w:val="000000"/>
        </w:rPr>
      </w:pPr>
    </w:p>
    <w:p w:rsidR="003645EB" w:rsidRPr="009571FA" w:rsidRDefault="00D91569" w:rsidP="0056111C">
      <w:pPr>
        <w:pStyle w:val="Default"/>
        <w:jc w:val="both"/>
        <w:rPr>
          <w:rFonts w:ascii="Arial" w:hAnsi="Arial" w:cs="Arial"/>
          <w:sz w:val="22"/>
          <w:szCs w:val="22"/>
        </w:rPr>
      </w:pPr>
      <w:r w:rsidRPr="009571FA">
        <w:rPr>
          <w:rFonts w:ascii="Arial" w:hAnsi="Arial" w:cs="Arial"/>
          <w:sz w:val="22"/>
          <w:szCs w:val="22"/>
        </w:rPr>
        <w:t xml:space="preserve">There are a few exclusions per EPCRA for food, food additives, drugs, cosmetics, </w:t>
      </w:r>
      <w:r w:rsidR="003645EB" w:rsidRPr="009571FA">
        <w:rPr>
          <w:rFonts w:ascii="Arial" w:hAnsi="Arial" w:cs="Arial"/>
          <w:sz w:val="22"/>
          <w:szCs w:val="22"/>
        </w:rPr>
        <w:t xml:space="preserve">substances for general/household purposes for use by the general public, </w:t>
      </w:r>
      <w:r w:rsidRPr="009571FA">
        <w:rPr>
          <w:rFonts w:ascii="Arial" w:hAnsi="Arial" w:cs="Arial"/>
          <w:sz w:val="22"/>
          <w:szCs w:val="22"/>
        </w:rPr>
        <w:t xml:space="preserve">fertilizer sold to farmers, </w:t>
      </w:r>
      <w:r w:rsidR="003645EB" w:rsidRPr="009571FA">
        <w:rPr>
          <w:rFonts w:ascii="Arial" w:hAnsi="Arial" w:cs="Arial"/>
          <w:sz w:val="22"/>
          <w:szCs w:val="22"/>
        </w:rPr>
        <w:t xml:space="preserve">and substances used by research labs and hospitals.  </w:t>
      </w:r>
    </w:p>
    <w:p w:rsidR="002634C1" w:rsidRPr="009571FA" w:rsidRDefault="002634C1" w:rsidP="002634C1">
      <w:pPr>
        <w:rPr>
          <w:rFonts w:ascii="Arial" w:hAnsi="Arial" w:cs="Arial"/>
        </w:rPr>
      </w:pPr>
    </w:p>
    <w:p w:rsidR="003645EB" w:rsidRPr="0056111C" w:rsidRDefault="0056111C" w:rsidP="002634C1">
      <w:pPr>
        <w:rPr>
          <w:rFonts w:ascii="Arial" w:hAnsi="Arial" w:cs="Arial"/>
          <w:b/>
          <w:color w:val="C30538"/>
        </w:rPr>
      </w:pPr>
      <w:r>
        <w:rPr>
          <w:rFonts w:ascii="Arial" w:hAnsi="Arial" w:cs="Arial"/>
          <w:b/>
          <w:color w:val="C30538"/>
        </w:rPr>
        <w:t>Information Collected</w:t>
      </w:r>
    </w:p>
    <w:p w:rsidR="003645EB" w:rsidRPr="009571FA" w:rsidRDefault="003645EB" w:rsidP="002634C1">
      <w:pPr>
        <w:rPr>
          <w:rFonts w:ascii="Arial" w:hAnsi="Arial" w:cs="Arial"/>
        </w:rPr>
      </w:pPr>
    </w:p>
    <w:p w:rsidR="003645EB" w:rsidRPr="009571FA" w:rsidRDefault="003645EB" w:rsidP="0056111C">
      <w:pPr>
        <w:jc w:val="both"/>
        <w:rPr>
          <w:rFonts w:ascii="Arial" w:hAnsi="Arial" w:cs="Arial"/>
        </w:rPr>
      </w:pPr>
      <w:r w:rsidRPr="009571FA">
        <w:rPr>
          <w:rFonts w:ascii="Arial" w:hAnsi="Arial" w:cs="Arial"/>
        </w:rPr>
        <w:t>Each state has its own requirements, but the information reported is very similar.  Some examples of information you’ll need to gather include:</w:t>
      </w:r>
    </w:p>
    <w:p w:rsidR="003645EB" w:rsidRPr="009571FA" w:rsidRDefault="003645EB" w:rsidP="002634C1">
      <w:pPr>
        <w:rPr>
          <w:rFonts w:ascii="Arial" w:hAnsi="Arial" w:cs="Arial"/>
        </w:rPr>
      </w:pPr>
    </w:p>
    <w:p w:rsidR="003645EB" w:rsidRPr="009571FA" w:rsidRDefault="0056111C" w:rsidP="003645EB">
      <w:pPr>
        <w:pStyle w:val="Default"/>
        <w:numPr>
          <w:ilvl w:val="0"/>
          <w:numId w:val="1"/>
        </w:numPr>
        <w:rPr>
          <w:rFonts w:ascii="Arial" w:hAnsi="Arial" w:cs="Arial"/>
          <w:sz w:val="22"/>
          <w:szCs w:val="22"/>
        </w:rPr>
      </w:pPr>
      <w:r>
        <w:rPr>
          <w:rFonts w:ascii="Arial" w:hAnsi="Arial" w:cs="Arial"/>
          <w:sz w:val="22"/>
          <w:szCs w:val="22"/>
        </w:rPr>
        <w:t>SDS for Each Chemical</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Facility Information</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Emergency Contacts and Contacts Knowledgeable of Tier II Information</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Physical and Health Hazards</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Chemical Descriptions</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Maximum Amount Present on any Single Day During Reporting Period</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Average Daily Amounts (Weights)</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Number of Days Onsite</w:t>
      </w:r>
    </w:p>
    <w:p w:rsidR="003645EB" w:rsidRPr="009571FA" w:rsidRDefault="003645EB" w:rsidP="003645EB">
      <w:pPr>
        <w:pStyle w:val="Default"/>
        <w:numPr>
          <w:ilvl w:val="0"/>
          <w:numId w:val="1"/>
        </w:numPr>
        <w:rPr>
          <w:rFonts w:ascii="Arial" w:hAnsi="Arial" w:cs="Arial"/>
          <w:sz w:val="22"/>
          <w:szCs w:val="22"/>
        </w:rPr>
      </w:pPr>
      <w:r w:rsidRPr="009571FA">
        <w:rPr>
          <w:rFonts w:ascii="Arial" w:hAnsi="Arial" w:cs="Arial"/>
          <w:sz w:val="22"/>
          <w:szCs w:val="22"/>
        </w:rPr>
        <w:t>Storage Types, Conditions and Locations</w:t>
      </w:r>
    </w:p>
    <w:p w:rsidR="003645EB" w:rsidRPr="009571FA" w:rsidRDefault="003645EB" w:rsidP="002634C1">
      <w:pPr>
        <w:rPr>
          <w:rFonts w:ascii="Arial" w:hAnsi="Arial" w:cs="Arial"/>
        </w:rPr>
      </w:pPr>
    </w:p>
    <w:p w:rsidR="003645EB" w:rsidRPr="0056111C" w:rsidRDefault="003645EB" w:rsidP="002634C1">
      <w:pPr>
        <w:rPr>
          <w:rFonts w:ascii="Arial" w:hAnsi="Arial" w:cs="Arial"/>
          <w:b/>
          <w:color w:val="C30538"/>
        </w:rPr>
      </w:pPr>
      <w:r w:rsidRPr="0056111C">
        <w:rPr>
          <w:rFonts w:ascii="Arial" w:hAnsi="Arial" w:cs="Arial"/>
          <w:b/>
          <w:color w:val="C30538"/>
        </w:rPr>
        <w:t>Reporting</w:t>
      </w:r>
    </w:p>
    <w:p w:rsidR="003645EB" w:rsidRPr="009571FA" w:rsidRDefault="003645EB" w:rsidP="002634C1">
      <w:pPr>
        <w:rPr>
          <w:rFonts w:ascii="Arial" w:hAnsi="Arial" w:cs="Arial"/>
        </w:rPr>
      </w:pPr>
    </w:p>
    <w:p w:rsidR="003645EB" w:rsidRPr="009571FA" w:rsidRDefault="003645EB" w:rsidP="0056111C">
      <w:pPr>
        <w:jc w:val="both"/>
        <w:rPr>
          <w:rFonts w:ascii="Arial" w:hAnsi="Arial" w:cs="Arial"/>
        </w:rPr>
      </w:pPr>
      <w:r w:rsidRPr="009571FA">
        <w:rPr>
          <w:rFonts w:ascii="Arial" w:hAnsi="Arial" w:cs="Arial"/>
        </w:rPr>
        <w:t xml:space="preserve">Each state varies on how the information is reported then </w:t>
      </w:r>
      <w:r w:rsidR="0056111C">
        <w:rPr>
          <w:rFonts w:ascii="Arial" w:hAnsi="Arial" w:cs="Arial"/>
        </w:rPr>
        <w:t>given</w:t>
      </w:r>
      <w:r w:rsidRPr="009571FA">
        <w:rPr>
          <w:rFonts w:ascii="Arial" w:hAnsi="Arial" w:cs="Arial"/>
        </w:rPr>
        <w:t xml:space="preserve"> to </w:t>
      </w:r>
      <w:r w:rsidR="0056111C">
        <w:rPr>
          <w:rFonts w:ascii="Arial" w:hAnsi="Arial" w:cs="Arial"/>
        </w:rPr>
        <w:t>e</w:t>
      </w:r>
      <w:r w:rsidRPr="009571FA">
        <w:rPr>
          <w:rFonts w:ascii="Arial" w:hAnsi="Arial" w:cs="Arial"/>
        </w:rPr>
        <w:t>mergency officials. Some states require electronic reporting, others may require you to send it directly to your state emergency response commission</w:t>
      </w:r>
      <w:r w:rsidR="0056111C">
        <w:rPr>
          <w:rFonts w:ascii="Arial" w:hAnsi="Arial" w:cs="Arial"/>
        </w:rPr>
        <w:t xml:space="preserve">, your local emergency response </w:t>
      </w:r>
      <w:r w:rsidRPr="009571FA">
        <w:rPr>
          <w:rFonts w:ascii="Arial" w:hAnsi="Arial" w:cs="Arial"/>
        </w:rPr>
        <w:t xml:space="preserve">commission and the fire department with jurisdiction over your facility.  </w:t>
      </w:r>
      <w:hyperlink r:id="rId5" w:history="1">
        <w:r w:rsidRPr="00E94B92">
          <w:rPr>
            <w:rStyle w:val="Hyperlink"/>
            <w:rFonts w:ascii="Arial" w:hAnsi="Arial" w:cs="Arial"/>
          </w:rPr>
          <w:t>Check out your state requirements here.</w:t>
        </w:r>
      </w:hyperlink>
      <w:r w:rsidR="00E94B92">
        <w:rPr>
          <w:rFonts w:ascii="Arial" w:hAnsi="Arial" w:cs="Arial"/>
        </w:rPr>
        <w:t xml:space="preserve">  Reporting is due March 1.</w:t>
      </w:r>
      <w:bookmarkStart w:id="0" w:name="_GoBack"/>
      <w:bookmarkEnd w:id="0"/>
    </w:p>
    <w:p w:rsidR="003645EB" w:rsidRPr="009571FA" w:rsidRDefault="003645EB" w:rsidP="002634C1">
      <w:pPr>
        <w:rPr>
          <w:rFonts w:ascii="Arial" w:hAnsi="Arial" w:cs="Arial"/>
        </w:rPr>
      </w:pPr>
    </w:p>
    <w:p w:rsidR="003645EB" w:rsidRPr="0056111C" w:rsidRDefault="003645EB" w:rsidP="002634C1">
      <w:pPr>
        <w:rPr>
          <w:rFonts w:ascii="Arial" w:hAnsi="Arial" w:cs="Arial"/>
          <w:b/>
          <w:color w:val="C30538"/>
        </w:rPr>
      </w:pPr>
      <w:r w:rsidRPr="0056111C">
        <w:rPr>
          <w:rFonts w:ascii="Arial" w:hAnsi="Arial" w:cs="Arial"/>
          <w:b/>
          <w:color w:val="C30538"/>
        </w:rPr>
        <w:t>Need Help?</w:t>
      </w:r>
    </w:p>
    <w:p w:rsidR="003645EB" w:rsidRPr="009571FA" w:rsidRDefault="003645EB" w:rsidP="002634C1">
      <w:pPr>
        <w:rPr>
          <w:rFonts w:ascii="Arial" w:hAnsi="Arial" w:cs="Arial"/>
        </w:rPr>
      </w:pPr>
    </w:p>
    <w:p w:rsidR="002634C1" w:rsidRPr="009571FA" w:rsidRDefault="003645EB" w:rsidP="00E94B92">
      <w:pPr>
        <w:jc w:val="both"/>
        <w:rPr>
          <w:rFonts w:ascii="Arial" w:hAnsi="Arial" w:cs="Arial"/>
          <w:sz w:val="24"/>
          <w:szCs w:val="24"/>
        </w:rPr>
      </w:pPr>
      <w:proofErr w:type="gramStart"/>
      <w:r w:rsidRPr="009571FA">
        <w:rPr>
          <w:rFonts w:ascii="Arial" w:hAnsi="Arial" w:cs="Arial"/>
        </w:rPr>
        <w:t>iSi</w:t>
      </w:r>
      <w:proofErr w:type="gramEnd"/>
      <w:r w:rsidRPr="009571FA">
        <w:rPr>
          <w:rFonts w:ascii="Arial" w:hAnsi="Arial" w:cs="Arial"/>
        </w:rPr>
        <w:t xml:space="preserve"> can help you determine your applicability, what your state requires and then help you complete the Tier II reporting elements.  Contact us today for a pricing quote</w:t>
      </w:r>
      <w:r w:rsidR="00E94B92">
        <w:rPr>
          <w:rFonts w:ascii="Arial" w:hAnsi="Arial" w:cs="Arial"/>
        </w:rPr>
        <w:t>!</w:t>
      </w:r>
    </w:p>
    <w:sectPr w:rsidR="002634C1" w:rsidRPr="009571FA" w:rsidSect="00E94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80071"/>
    <w:multiLevelType w:val="hybridMultilevel"/>
    <w:tmpl w:val="214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4C1"/>
    <w:rsid w:val="002634C1"/>
    <w:rsid w:val="003645EB"/>
    <w:rsid w:val="0056111C"/>
    <w:rsid w:val="009571FA"/>
    <w:rsid w:val="00D91569"/>
    <w:rsid w:val="00E94B92"/>
    <w:rsid w:val="00EA22CE"/>
    <w:rsid w:val="00F4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ECB20-D479-484A-BF19-1768AAE0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4C1"/>
    <w:rPr>
      <w:color w:val="0563C1" w:themeColor="hyperlink"/>
      <w:u w:val="single"/>
    </w:rPr>
  </w:style>
  <w:style w:type="paragraph" w:customStyle="1" w:styleId="Default">
    <w:name w:val="Default"/>
    <w:rsid w:val="002634C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a.gov/epcra/state-tier-ii-reporting-requirements-and-proced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2018-01-25T17:36:00Z</dcterms:created>
  <dcterms:modified xsi:type="dcterms:W3CDTF">2018-01-25T18:36:00Z</dcterms:modified>
</cp:coreProperties>
</file>