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357" w:rsidRDefault="00F26357" w:rsidP="00F26357">
      <w:pPr>
        <w:widowControl w:val="0"/>
        <w:jc w:val="center"/>
        <w:rPr>
          <w:rFonts w:ascii="Franklin Gothic Demi" w:hAnsi="Franklin Gothic Demi"/>
          <w:bCs/>
          <w:color w:val="C30045"/>
          <w:sz w:val="32"/>
          <w:szCs w:val="32"/>
          <w14:ligatures w14:val="none"/>
        </w:rPr>
      </w:pPr>
      <w:r>
        <w:rPr>
          <w:rFonts w:ascii="Franklin Gothic Demi" w:hAnsi="Franklin Gothic Demi"/>
          <w:bCs/>
          <w:color w:val="C30045"/>
          <w:sz w:val="32"/>
          <w:szCs w:val="32"/>
          <w14:ligatures w14:val="none"/>
        </w:rPr>
        <w:t xml:space="preserve">More </w:t>
      </w:r>
      <w:proofErr w:type="gramStart"/>
      <w:r>
        <w:rPr>
          <w:rFonts w:ascii="Franklin Gothic Demi" w:hAnsi="Franklin Gothic Demi"/>
          <w:bCs/>
          <w:color w:val="C30045"/>
          <w:sz w:val="32"/>
          <w:szCs w:val="32"/>
          <w14:ligatures w14:val="none"/>
        </w:rPr>
        <w:t>On</w:t>
      </w:r>
      <w:proofErr w:type="gramEnd"/>
      <w:r>
        <w:rPr>
          <w:rFonts w:ascii="Franklin Gothic Demi" w:hAnsi="Franklin Gothic Demi"/>
          <w:bCs/>
          <w:color w:val="C30045"/>
          <w:sz w:val="32"/>
          <w:szCs w:val="32"/>
          <w14:ligatures w14:val="none"/>
        </w:rPr>
        <w:t xml:space="preserve"> EPA’s Updated </w:t>
      </w:r>
      <w:proofErr w:type="spellStart"/>
      <w:r>
        <w:rPr>
          <w:rFonts w:ascii="Franklin Gothic Demi" w:hAnsi="Franklin Gothic Demi"/>
          <w:bCs/>
          <w:color w:val="C30045"/>
          <w:sz w:val="32"/>
          <w:szCs w:val="32"/>
          <w14:ligatures w14:val="none"/>
        </w:rPr>
        <w:t>HazWaste</w:t>
      </w:r>
      <w:proofErr w:type="spellEnd"/>
      <w:r>
        <w:rPr>
          <w:rFonts w:ascii="Franklin Gothic Demi" w:hAnsi="Franklin Gothic Demi"/>
          <w:bCs/>
          <w:color w:val="C30045"/>
          <w:sz w:val="32"/>
          <w:szCs w:val="32"/>
          <w14:ligatures w14:val="none"/>
        </w:rPr>
        <w:t xml:space="preserve"> Regulations</w:t>
      </w:r>
    </w:p>
    <w:p w:rsidR="00F26357" w:rsidRPr="00F16648" w:rsidRDefault="00F26357" w:rsidP="00F26357">
      <w:pPr>
        <w:widowControl w:val="0"/>
        <w:jc w:val="center"/>
        <w:rPr>
          <w:rFonts w:ascii="Franklin Gothic Book" w:hAnsi="Franklin Gothic Book"/>
          <w:bCs/>
          <w:i/>
          <w:iCs/>
          <w:color w:val="C30538"/>
          <w:sz w:val="28"/>
          <w:szCs w:val="28"/>
          <w14:ligatures w14:val="none"/>
        </w:rPr>
      </w:pPr>
      <w:r w:rsidRPr="00F16648">
        <w:rPr>
          <w:rFonts w:ascii="Franklin Gothic Book" w:hAnsi="Franklin Gothic Book"/>
          <w:bCs/>
          <w:i/>
          <w:iCs/>
          <w:color w:val="C30538"/>
          <w:sz w:val="28"/>
          <w:szCs w:val="28"/>
          <w14:ligatures w14:val="none"/>
        </w:rPr>
        <w:t>The New Hazardous Waste Generator Improvements Rule</w:t>
      </w:r>
    </w:p>
    <w:p w:rsidR="00F26357" w:rsidRDefault="00F26357" w:rsidP="00F26357">
      <w:pPr>
        <w:widowControl w:val="0"/>
        <w:rPr>
          <w14:ligatures w14:val="none"/>
        </w:rPr>
      </w:pPr>
      <w:r>
        <w:rPr>
          <w14:ligatures w14:val="none"/>
        </w:rPr>
        <w:t> </w:t>
      </w:r>
    </w:p>
    <w:p w:rsidR="00F26357" w:rsidRPr="00D947CE" w:rsidRDefault="00F26357" w:rsidP="00F26357">
      <w:pPr>
        <w:widowControl w:val="0"/>
        <w:jc w:val="both"/>
        <w:rPr>
          <w:sz w:val="24"/>
          <w:szCs w:val="24"/>
          <w14:ligatures w14:val="none"/>
        </w:rPr>
      </w:pPr>
      <w:r w:rsidRPr="00D947CE">
        <w:rPr>
          <w:sz w:val="24"/>
          <w:szCs w:val="24"/>
          <w14:ligatures w14:val="none"/>
        </w:rPr>
        <w:t>In an effort to make the hazardous waste (HW) regulations easier to understand and more in line with today’s business operations, EPA has issued updates and changes to its Resource Conservation and Recovery Act (RCRA) HW regulations.</w:t>
      </w:r>
    </w:p>
    <w:p w:rsidR="00F26357" w:rsidRPr="00D947CE" w:rsidRDefault="00F26357" w:rsidP="00F26357">
      <w:pPr>
        <w:widowControl w:val="0"/>
        <w:jc w:val="both"/>
        <w:rPr>
          <w:sz w:val="24"/>
          <w:szCs w:val="24"/>
          <w14:ligatures w14:val="none"/>
        </w:rPr>
      </w:pPr>
      <w:r w:rsidRPr="00D947CE">
        <w:rPr>
          <w:sz w:val="24"/>
          <w:szCs w:val="24"/>
          <w14:ligatures w14:val="none"/>
        </w:rPr>
        <w:t> </w:t>
      </w:r>
    </w:p>
    <w:p w:rsidR="00F26357" w:rsidRPr="00D947CE" w:rsidRDefault="00F26357" w:rsidP="00F26357">
      <w:pPr>
        <w:widowControl w:val="0"/>
        <w:jc w:val="both"/>
        <w:rPr>
          <w:sz w:val="24"/>
          <w:szCs w:val="24"/>
          <w14:ligatures w14:val="none"/>
        </w:rPr>
      </w:pPr>
      <w:r w:rsidRPr="00D947CE">
        <w:rPr>
          <w:sz w:val="24"/>
          <w:szCs w:val="24"/>
          <w14:ligatures w14:val="none"/>
        </w:rPr>
        <w:t>EPA has made over 60 changes which are geared to make technical corrections, clarify, increase flexibility and improve environmental protec</w:t>
      </w:r>
      <w:bookmarkStart w:id="0" w:name="_GoBack"/>
      <w:bookmarkEnd w:id="0"/>
      <w:r w:rsidRPr="00D947CE">
        <w:rPr>
          <w:sz w:val="24"/>
          <w:szCs w:val="24"/>
          <w14:ligatures w14:val="none"/>
        </w:rPr>
        <w:t xml:space="preserve">tion.  The changes will not go into effect until May 2017, then every state but Iowa and Alaska will have </w:t>
      </w:r>
      <w:r w:rsidRPr="00D947CE">
        <w:rPr>
          <w:sz w:val="24"/>
          <w:szCs w:val="24"/>
          <w:u w:val="single"/>
          <w14:ligatures w14:val="none"/>
        </w:rPr>
        <w:t>until mid-2018</w:t>
      </w:r>
      <w:r w:rsidRPr="00D947CE">
        <w:rPr>
          <w:sz w:val="24"/>
          <w:szCs w:val="24"/>
          <w14:ligatures w14:val="none"/>
        </w:rPr>
        <w:t xml:space="preserve"> to implement and adopt (or not adopt) the less stringent requirements.  So the compliance date will depend on your state.</w:t>
      </w:r>
    </w:p>
    <w:p w:rsidR="00F26357" w:rsidRPr="00D947CE" w:rsidRDefault="00F26357" w:rsidP="00F26357">
      <w:pPr>
        <w:widowControl w:val="0"/>
        <w:jc w:val="both"/>
        <w:rPr>
          <w:sz w:val="24"/>
          <w:szCs w:val="24"/>
          <w14:ligatures w14:val="none"/>
        </w:rPr>
      </w:pPr>
    </w:p>
    <w:p w:rsidR="00F26357" w:rsidRPr="00D947CE" w:rsidRDefault="00F26357" w:rsidP="00F26357">
      <w:pPr>
        <w:widowControl w:val="0"/>
        <w:jc w:val="both"/>
        <w:rPr>
          <w:sz w:val="24"/>
          <w:szCs w:val="24"/>
          <w14:ligatures w14:val="none"/>
        </w:rPr>
      </w:pPr>
      <w:r w:rsidRPr="00D947CE">
        <w:rPr>
          <w:sz w:val="24"/>
          <w:szCs w:val="24"/>
          <w14:ligatures w14:val="none"/>
        </w:rPr>
        <w:t>Among the most prominent of these changes are:</w:t>
      </w:r>
    </w:p>
    <w:p w:rsidR="00F26357" w:rsidRPr="00D947CE" w:rsidRDefault="00F26357" w:rsidP="00F26357">
      <w:pPr>
        <w:widowControl w:val="0"/>
        <w:jc w:val="both"/>
        <w:rPr>
          <w:sz w:val="24"/>
          <w:szCs w:val="24"/>
          <w14:ligatures w14:val="none"/>
        </w:rPr>
      </w:pPr>
      <w:r w:rsidRPr="00D947CE">
        <w:rPr>
          <w:sz w:val="24"/>
          <w:szCs w:val="24"/>
          <w14:ligatures w14:val="none"/>
        </w:rPr>
        <w:t> </w:t>
      </w:r>
    </w:p>
    <w:p w:rsidR="00F26357" w:rsidRPr="00D947CE" w:rsidRDefault="00F26357" w:rsidP="00F26357">
      <w:pPr>
        <w:widowControl w:val="0"/>
        <w:jc w:val="both"/>
        <w:rPr>
          <w:rFonts w:ascii="Franklin Gothic Demi" w:hAnsi="Franklin Gothic Demi"/>
          <w:color w:val="0039A6"/>
          <w:sz w:val="24"/>
          <w:szCs w:val="24"/>
          <w14:ligatures w14:val="none"/>
        </w:rPr>
      </w:pPr>
      <w:r w:rsidRPr="00D947CE">
        <w:rPr>
          <w:rFonts w:ascii="Franklin Gothic Demi" w:hAnsi="Franklin Gothic Demi"/>
          <w:color w:val="0039A6"/>
          <w:sz w:val="24"/>
          <w:szCs w:val="24"/>
          <w14:ligatures w14:val="none"/>
        </w:rPr>
        <w:t>Consolidation of VSQG Waste at LQGs</w:t>
      </w:r>
    </w:p>
    <w:p w:rsidR="00F26357" w:rsidRPr="00D947CE" w:rsidRDefault="00F26357" w:rsidP="00F26357">
      <w:pPr>
        <w:widowControl w:val="0"/>
        <w:jc w:val="both"/>
        <w:rPr>
          <w:rFonts w:ascii="Franklin Gothic Demi" w:hAnsi="Franklin Gothic Demi"/>
          <w:color w:val="0039A6"/>
          <w:sz w:val="24"/>
          <w:szCs w:val="24"/>
          <w14:ligatures w14:val="none"/>
        </w:rPr>
      </w:pPr>
    </w:p>
    <w:p w:rsidR="00F26357" w:rsidRPr="00D947CE" w:rsidRDefault="00F26357" w:rsidP="00F26357">
      <w:pPr>
        <w:widowControl w:val="0"/>
        <w:jc w:val="both"/>
        <w:rPr>
          <w:i/>
          <w:iCs/>
          <w:color w:val="C30045"/>
          <w:sz w:val="24"/>
          <w:szCs w:val="24"/>
          <w14:ligatures w14:val="none"/>
        </w:rPr>
      </w:pPr>
      <w:r w:rsidRPr="00D947CE">
        <w:rPr>
          <w:sz w:val="24"/>
          <w:szCs w:val="24"/>
          <w14:ligatures w14:val="none"/>
        </w:rPr>
        <w:t>EPA now allows very small quantity generators (VSQG, now the term for the former “conditionally exempt small quantity generator”) to consolidate waste at a large quantity generator (LQG) under the control of the same person. In some cases, organizations have satellite locations that qualify as a VSQG and could take advantage by consolidating together.  VSQGs would need to mark and label their waste as “Hazardous Waste,” and indicate the hazards associated with the contents. LQGs would notify on the Site ID Form 30 days prior to receiving the waste that they are participating in this activity, who the VSQG is, maintain records for each shipment for 3 years, mark the accumulation units with the date the HW was received, manage consolidated waste as LQG waste and report in annual and biennial reports.</w:t>
      </w:r>
      <w:r w:rsidRPr="00D947CE">
        <w:rPr>
          <w:sz w:val="24"/>
          <w:szCs w:val="24"/>
          <w14:ligatures w14:val="none"/>
        </w:rPr>
        <w:tab/>
      </w:r>
      <w:r w:rsidRPr="00D947CE">
        <w:rPr>
          <w:sz w:val="24"/>
          <w:szCs w:val="24"/>
          <w14:ligatures w14:val="none"/>
        </w:rPr>
        <w:tab/>
        <w:t xml:space="preserve"> </w:t>
      </w:r>
    </w:p>
    <w:p w:rsidR="00F26357" w:rsidRPr="00D947CE" w:rsidRDefault="00F26357" w:rsidP="00F26357">
      <w:pPr>
        <w:widowControl w:val="0"/>
        <w:rPr>
          <w:sz w:val="24"/>
          <w:szCs w:val="24"/>
          <w14:ligatures w14:val="none"/>
        </w:rPr>
      </w:pPr>
      <w:r w:rsidRPr="00D947CE">
        <w:rPr>
          <w:sz w:val="24"/>
          <w:szCs w:val="24"/>
          <w14:ligatures w14:val="none"/>
        </w:rPr>
        <w:t> </w:t>
      </w:r>
    </w:p>
    <w:p w:rsidR="00F26357" w:rsidRPr="00D947CE" w:rsidRDefault="00F26357" w:rsidP="00F26357">
      <w:pPr>
        <w:widowControl w:val="0"/>
        <w:rPr>
          <w:rFonts w:ascii="Franklin Gothic Demi" w:hAnsi="Franklin Gothic Demi"/>
          <w:color w:val="0039A6"/>
          <w:sz w:val="24"/>
          <w:szCs w:val="24"/>
          <w14:ligatures w14:val="none"/>
        </w:rPr>
      </w:pPr>
      <w:r w:rsidRPr="00D947CE">
        <w:rPr>
          <w:rFonts w:ascii="Franklin Gothic Demi" w:hAnsi="Franklin Gothic Demi"/>
          <w:color w:val="0039A6"/>
          <w:sz w:val="24"/>
          <w:szCs w:val="24"/>
          <w14:ligatures w14:val="none"/>
        </w:rPr>
        <w:t>Emergency Planning and Preparedness</w:t>
      </w:r>
    </w:p>
    <w:p w:rsidR="00F26357" w:rsidRPr="00D947CE" w:rsidRDefault="00F26357" w:rsidP="00F26357">
      <w:pPr>
        <w:widowControl w:val="0"/>
        <w:rPr>
          <w:rFonts w:ascii="Franklin Gothic Demi" w:hAnsi="Franklin Gothic Demi"/>
          <w:color w:val="0039A6"/>
          <w:sz w:val="24"/>
          <w:szCs w:val="24"/>
          <w14:ligatures w14:val="none"/>
        </w:rPr>
      </w:pPr>
    </w:p>
    <w:p w:rsidR="00F26357" w:rsidRPr="00D947CE" w:rsidRDefault="00F26357" w:rsidP="00F26357">
      <w:pPr>
        <w:pStyle w:val="ListParagraph"/>
        <w:widowControl w:val="0"/>
        <w:numPr>
          <w:ilvl w:val="0"/>
          <w:numId w:val="11"/>
        </w:numPr>
        <w:ind w:left="360"/>
        <w:jc w:val="both"/>
        <w:rPr>
          <w:sz w:val="24"/>
          <w:szCs w:val="24"/>
          <w14:ligatures w14:val="none"/>
        </w:rPr>
      </w:pPr>
      <w:r w:rsidRPr="00D947CE">
        <w:rPr>
          <w:sz w:val="24"/>
          <w:szCs w:val="24"/>
          <w14:ligatures w14:val="none"/>
        </w:rPr>
        <w:t>LQGs must document they have made the required arrangements with emergency responders and the LEPC (local emergency planning committee).</w:t>
      </w:r>
    </w:p>
    <w:p w:rsidR="00F26357" w:rsidRPr="00D947CE" w:rsidRDefault="00F26357" w:rsidP="00F26357">
      <w:pPr>
        <w:pStyle w:val="ListParagraph"/>
        <w:widowControl w:val="0"/>
        <w:numPr>
          <w:ilvl w:val="0"/>
          <w:numId w:val="11"/>
        </w:numPr>
        <w:ind w:left="360"/>
        <w:jc w:val="both"/>
        <w:rPr>
          <w:sz w:val="24"/>
          <w:szCs w:val="24"/>
          <w14:ligatures w14:val="none"/>
        </w:rPr>
      </w:pPr>
      <w:r w:rsidRPr="00D947CE">
        <w:rPr>
          <w:sz w:val="24"/>
          <w:szCs w:val="24"/>
          <w14:ligatures w14:val="none"/>
        </w:rPr>
        <w:t>New LQGs submitting Contingency Plans must include an executive summary which has the most critical information for immediate response to an event including types and amount of HW, maps of site and surrounding areas, location of water supply, identification of the onsite notification system and emergency contacts. This is considered a quick reference guide for emergency responders.</w:t>
      </w:r>
    </w:p>
    <w:p w:rsidR="00F26357" w:rsidRPr="00D947CE" w:rsidRDefault="00F26357" w:rsidP="00F26357">
      <w:pPr>
        <w:pStyle w:val="ListParagraph"/>
        <w:widowControl w:val="0"/>
        <w:numPr>
          <w:ilvl w:val="0"/>
          <w:numId w:val="11"/>
        </w:numPr>
        <w:ind w:left="360"/>
        <w:jc w:val="both"/>
        <w:rPr>
          <w:sz w:val="24"/>
          <w:szCs w:val="24"/>
          <w14:ligatures w14:val="none"/>
        </w:rPr>
      </w:pPr>
      <w:r w:rsidRPr="00D947CE">
        <w:rPr>
          <w:sz w:val="24"/>
          <w:szCs w:val="24"/>
          <w14:ligatures w14:val="none"/>
        </w:rPr>
        <w:t>Contingency planning and emergency procedures only applies to areas where HW is accumulated and thus applies to both 90/180/270 day accumulation and satellite accumulation areas.</w:t>
      </w:r>
    </w:p>
    <w:p w:rsidR="00F26357" w:rsidRPr="00D947CE" w:rsidRDefault="00F26357" w:rsidP="00F26357">
      <w:pPr>
        <w:pStyle w:val="ListParagraph"/>
        <w:widowControl w:val="0"/>
        <w:numPr>
          <w:ilvl w:val="0"/>
          <w:numId w:val="11"/>
        </w:numPr>
        <w:ind w:left="360"/>
        <w:jc w:val="both"/>
        <w:rPr>
          <w:sz w:val="24"/>
          <w:szCs w:val="24"/>
          <w14:ligatures w14:val="none"/>
        </w:rPr>
      </w:pPr>
      <w:r w:rsidRPr="00D947CE">
        <w:rPr>
          <w:sz w:val="24"/>
          <w:szCs w:val="24"/>
          <w14:ligatures w14:val="none"/>
        </w:rPr>
        <w:t>Contingency plans may now also be sent to the LEPC.  The next time you update your contingency plan, it must be sent to local emergency responders.</w:t>
      </w:r>
    </w:p>
    <w:p w:rsidR="00F26357" w:rsidRPr="00D947CE" w:rsidRDefault="00F26357" w:rsidP="00F26357">
      <w:pPr>
        <w:pStyle w:val="ListParagraph"/>
        <w:widowControl w:val="0"/>
        <w:numPr>
          <w:ilvl w:val="0"/>
          <w:numId w:val="11"/>
        </w:numPr>
        <w:ind w:left="360"/>
        <w:jc w:val="both"/>
        <w:rPr>
          <w:sz w:val="24"/>
          <w:szCs w:val="24"/>
          <w14:ligatures w14:val="none"/>
        </w:rPr>
      </w:pPr>
      <w:r w:rsidRPr="00D947CE">
        <w:rPr>
          <w:sz w:val="24"/>
          <w:szCs w:val="24"/>
          <w14:ligatures w14:val="none"/>
        </w:rPr>
        <w:lastRenderedPageBreak/>
        <w:t>Home information is no longer required.</w:t>
      </w:r>
    </w:p>
    <w:p w:rsidR="00F26357" w:rsidRPr="00D947CE" w:rsidRDefault="00F26357" w:rsidP="00F26357">
      <w:pPr>
        <w:pStyle w:val="ListParagraph"/>
        <w:widowControl w:val="0"/>
        <w:numPr>
          <w:ilvl w:val="0"/>
          <w:numId w:val="11"/>
        </w:numPr>
        <w:ind w:left="360"/>
        <w:jc w:val="both"/>
        <w:rPr>
          <w:sz w:val="24"/>
          <w:szCs w:val="24"/>
          <w14:ligatures w14:val="none"/>
        </w:rPr>
      </w:pPr>
      <w:r w:rsidRPr="00D947CE">
        <w:rPr>
          <w:sz w:val="24"/>
          <w:szCs w:val="24"/>
          <w14:ligatures w14:val="none"/>
        </w:rPr>
        <w:t>Contractors can clean-up releases.</w:t>
      </w:r>
    </w:p>
    <w:p w:rsidR="00F26357" w:rsidRPr="00D947CE" w:rsidRDefault="00F26357" w:rsidP="00F26357">
      <w:pPr>
        <w:pStyle w:val="ListParagraph"/>
        <w:widowControl w:val="0"/>
        <w:numPr>
          <w:ilvl w:val="0"/>
          <w:numId w:val="11"/>
        </w:numPr>
        <w:ind w:left="360"/>
        <w:jc w:val="both"/>
        <w:rPr>
          <w:sz w:val="24"/>
          <w:szCs w:val="24"/>
          <w14:ligatures w14:val="none"/>
        </w:rPr>
      </w:pPr>
      <w:r w:rsidRPr="00D947CE">
        <w:rPr>
          <w:sz w:val="24"/>
          <w:szCs w:val="24"/>
          <w14:ligatures w14:val="none"/>
        </w:rPr>
        <w:t>Updated equipment list in line with modern technology.</w:t>
      </w:r>
    </w:p>
    <w:p w:rsidR="00F26357" w:rsidRPr="00D947CE" w:rsidRDefault="00F26357" w:rsidP="00F26357">
      <w:pPr>
        <w:widowControl w:val="0"/>
        <w:jc w:val="both"/>
        <w:rPr>
          <w:sz w:val="24"/>
          <w:szCs w:val="24"/>
          <w14:ligatures w14:val="none"/>
        </w:rPr>
      </w:pPr>
      <w:r w:rsidRPr="00D947CE">
        <w:rPr>
          <w:sz w:val="24"/>
          <w:szCs w:val="24"/>
          <w14:ligatures w14:val="none"/>
        </w:rPr>
        <w:t> </w:t>
      </w:r>
    </w:p>
    <w:p w:rsidR="00F26357" w:rsidRDefault="00F26357" w:rsidP="00F26357">
      <w:pPr>
        <w:widowControl w:val="0"/>
        <w:rPr>
          <w:rFonts w:ascii="Franklin Gothic Demi" w:hAnsi="Franklin Gothic Demi"/>
          <w:color w:val="0039A6"/>
          <w:sz w:val="24"/>
          <w:szCs w:val="24"/>
          <w14:ligatures w14:val="none"/>
        </w:rPr>
      </w:pPr>
      <w:r w:rsidRPr="00D947CE">
        <w:rPr>
          <w:rFonts w:ascii="Franklin Gothic Demi" w:hAnsi="Franklin Gothic Demi"/>
          <w:color w:val="0039A6"/>
          <w:sz w:val="24"/>
          <w:szCs w:val="24"/>
          <w14:ligatures w14:val="none"/>
        </w:rPr>
        <w:t>Labeling</w:t>
      </w:r>
    </w:p>
    <w:p w:rsidR="00F26357" w:rsidRPr="00D947CE" w:rsidRDefault="00F26357" w:rsidP="00F26357">
      <w:pPr>
        <w:widowControl w:val="0"/>
        <w:rPr>
          <w:rFonts w:ascii="Franklin Gothic Demi" w:hAnsi="Franklin Gothic Demi"/>
          <w:color w:val="0039A6"/>
          <w:sz w:val="24"/>
          <w:szCs w:val="24"/>
          <w14:ligatures w14:val="none"/>
        </w:rPr>
      </w:pPr>
    </w:p>
    <w:p w:rsidR="00F26357" w:rsidRPr="00D947CE" w:rsidRDefault="00F26357" w:rsidP="00F26357">
      <w:pPr>
        <w:pStyle w:val="ListParagraph"/>
        <w:widowControl w:val="0"/>
        <w:numPr>
          <w:ilvl w:val="0"/>
          <w:numId w:val="12"/>
        </w:numPr>
        <w:ind w:left="360"/>
        <w:jc w:val="both"/>
        <w:rPr>
          <w:sz w:val="24"/>
          <w:szCs w:val="24"/>
          <w14:ligatures w14:val="none"/>
        </w:rPr>
      </w:pPr>
      <w:r w:rsidRPr="00D947CE">
        <w:rPr>
          <w:sz w:val="24"/>
          <w:szCs w:val="24"/>
          <w14:ligatures w14:val="none"/>
        </w:rPr>
        <w:t>Container labels must indicate the content’s hazards using the applicable hazardous waste characteristic, DOT label or placard, OSHA hazard statement or pictogram or an NFPA label</w:t>
      </w:r>
    </w:p>
    <w:p w:rsidR="00F26357" w:rsidRPr="00D947CE" w:rsidRDefault="00F26357" w:rsidP="00F26357">
      <w:pPr>
        <w:pStyle w:val="ListParagraph"/>
        <w:widowControl w:val="0"/>
        <w:numPr>
          <w:ilvl w:val="0"/>
          <w:numId w:val="12"/>
        </w:numPr>
        <w:ind w:left="360"/>
        <w:jc w:val="both"/>
        <w:rPr>
          <w:sz w:val="24"/>
          <w:szCs w:val="24"/>
          <w14:ligatures w14:val="none"/>
        </w:rPr>
      </w:pPr>
      <w:r w:rsidRPr="00D947CE">
        <w:rPr>
          <w:sz w:val="24"/>
          <w:szCs w:val="24"/>
          <w14:ligatures w14:val="none"/>
        </w:rPr>
        <w:t>Tanks, drip pads and containment buildings can keep this information in logs or records kept near the accumulation site.</w:t>
      </w:r>
    </w:p>
    <w:p w:rsidR="00F26357" w:rsidRPr="00D947CE" w:rsidRDefault="00F26357" w:rsidP="00F26357">
      <w:pPr>
        <w:pStyle w:val="ListParagraph"/>
        <w:widowControl w:val="0"/>
        <w:numPr>
          <w:ilvl w:val="0"/>
          <w:numId w:val="12"/>
        </w:numPr>
        <w:ind w:left="360"/>
        <w:jc w:val="both"/>
        <w:rPr>
          <w:sz w:val="24"/>
          <w:szCs w:val="24"/>
          <w14:ligatures w14:val="none"/>
        </w:rPr>
      </w:pPr>
      <w:r w:rsidRPr="00D947CE">
        <w:rPr>
          <w:sz w:val="24"/>
          <w:szCs w:val="24"/>
          <w14:ligatures w14:val="none"/>
        </w:rPr>
        <w:t>Tanks and containment buildings must mark their containers with “Hazardous Waste” and an indication of the hazard(s) of the contents.</w:t>
      </w:r>
    </w:p>
    <w:p w:rsidR="00F26357" w:rsidRPr="00D947CE" w:rsidRDefault="00F26357" w:rsidP="00F26357">
      <w:pPr>
        <w:pStyle w:val="ListParagraph"/>
        <w:widowControl w:val="0"/>
        <w:numPr>
          <w:ilvl w:val="0"/>
          <w:numId w:val="12"/>
        </w:numPr>
        <w:ind w:left="360"/>
        <w:jc w:val="both"/>
        <w:rPr>
          <w:sz w:val="24"/>
          <w:szCs w:val="24"/>
          <w14:ligatures w14:val="none"/>
        </w:rPr>
      </w:pPr>
      <w:r w:rsidRPr="00D947CE">
        <w:rPr>
          <w:sz w:val="24"/>
          <w:szCs w:val="24"/>
          <w14:ligatures w14:val="none"/>
        </w:rPr>
        <w:t>SQG/LQG pre-transportation markings now need to include the EPA hazardous waste codes.</w:t>
      </w:r>
    </w:p>
    <w:p w:rsidR="00F26357" w:rsidRPr="00D947CE" w:rsidRDefault="00F26357" w:rsidP="00F26357">
      <w:pPr>
        <w:pStyle w:val="ListParagraph"/>
        <w:widowControl w:val="0"/>
        <w:numPr>
          <w:ilvl w:val="0"/>
          <w:numId w:val="12"/>
        </w:numPr>
        <w:ind w:left="360"/>
        <w:jc w:val="both"/>
        <w:rPr>
          <w:sz w:val="24"/>
          <w:szCs w:val="24"/>
          <w14:ligatures w14:val="none"/>
        </w:rPr>
      </w:pPr>
      <w:r w:rsidRPr="00D947CE">
        <w:rPr>
          <w:sz w:val="24"/>
          <w:szCs w:val="24"/>
          <w14:ligatures w14:val="none"/>
        </w:rPr>
        <w:t>Tags are acceptable for small containers as is hazardous waste in its original container with appropriate marking and labeling on it, such as an unused chemical product in its original container.</w:t>
      </w:r>
    </w:p>
    <w:p w:rsidR="00F26357" w:rsidRPr="00D947CE" w:rsidRDefault="00F26357" w:rsidP="00F26357">
      <w:pPr>
        <w:widowControl w:val="0"/>
        <w:jc w:val="both"/>
        <w:rPr>
          <w:sz w:val="24"/>
          <w:szCs w:val="24"/>
          <w14:ligatures w14:val="none"/>
        </w:rPr>
      </w:pPr>
      <w:r w:rsidRPr="00D947CE">
        <w:rPr>
          <w:sz w:val="24"/>
          <w:szCs w:val="24"/>
          <w14:ligatures w14:val="none"/>
        </w:rPr>
        <w:t> </w:t>
      </w:r>
    </w:p>
    <w:p w:rsidR="00F26357" w:rsidRDefault="00F26357" w:rsidP="00F26357">
      <w:pPr>
        <w:widowControl w:val="0"/>
        <w:jc w:val="both"/>
        <w:rPr>
          <w:rFonts w:ascii="Franklin Gothic Demi" w:hAnsi="Franklin Gothic Demi"/>
          <w:color w:val="0039A6"/>
          <w:sz w:val="24"/>
          <w:szCs w:val="24"/>
          <w14:ligatures w14:val="none"/>
        </w:rPr>
      </w:pPr>
      <w:r w:rsidRPr="00D947CE">
        <w:rPr>
          <w:rFonts w:ascii="Franklin Gothic Demi" w:hAnsi="Franklin Gothic Demi"/>
          <w:color w:val="0039A6"/>
          <w:sz w:val="24"/>
          <w:szCs w:val="24"/>
          <w14:ligatures w14:val="none"/>
        </w:rPr>
        <w:t>Reporting</w:t>
      </w:r>
    </w:p>
    <w:p w:rsidR="00F26357" w:rsidRPr="00D947CE" w:rsidRDefault="00F26357" w:rsidP="00F26357">
      <w:pPr>
        <w:widowControl w:val="0"/>
        <w:jc w:val="both"/>
        <w:rPr>
          <w:rFonts w:ascii="Franklin Gothic Demi" w:hAnsi="Franklin Gothic Demi"/>
          <w:color w:val="0039A6"/>
          <w:sz w:val="24"/>
          <w:szCs w:val="24"/>
          <w14:ligatures w14:val="none"/>
        </w:rPr>
      </w:pPr>
    </w:p>
    <w:p w:rsidR="00F26357" w:rsidRPr="00D947CE" w:rsidRDefault="00F26357" w:rsidP="00F26357">
      <w:pPr>
        <w:pStyle w:val="ListParagraph"/>
        <w:widowControl w:val="0"/>
        <w:numPr>
          <w:ilvl w:val="0"/>
          <w:numId w:val="13"/>
        </w:numPr>
        <w:jc w:val="both"/>
        <w:rPr>
          <w:sz w:val="24"/>
          <w:szCs w:val="24"/>
          <w14:ligatures w14:val="none"/>
        </w:rPr>
      </w:pPr>
      <w:r w:rsidRPr="00D947CE">
        <w:rPr>
          <w:sz w:val="24"/>
          <w:szCs w:val="24"/>
          <w14:ligatures w14:val="none"/>
        </w:rPr>
        <w:t>SQGs must re-notify every 4 yrs. starting in 2021 and the reporting period for this is September 1 of the year the re-notification is required.  LQGs must re-notify by March 1 of each even-numbered year as part of their biennial report.</w:t>
      </w:r>
    </w:p>
    <w:p w:rsidR="00F26357" w:rsidRPr="00D947CE" w:rsidRDefault="00F26357" w:rsidP="00F26357">
      <w:pPr>
        <w:pStyle w:val="ListParagraph"/>
        <w:widowControl w:val="0"/>
        <w:numPr>
          <w:ilvl w:val="0"/>
          <w:numId w:val="13"/>
        </w:numPr>
        <w:jc w:val="both"/>
        <w:rPr>
          <w:sz w:val="24"/>
          <w:szCs w:val="24"/>
          <w14:ligatures w14:val="none"/>
        </w:rPr>
      </w:pPr>
      <w:r w:rsidRPr="00D947CE">
        <w:rPr>
          <w:sz w:val="24"/>
          <w:szCs w:val="24"/>
          <w14:ligatures w14:val="none"/>
        </w:rPr>
        <w:t>LQGs must report all HW generated in a calendar year, throughout the calendar year, even when managed the next calendar or when they are an SQG.</w:t>
      </w:r>
    </w:p>
    <w:p w:rsidR="00F26357" w:rsidRPr="00D947CE" w:rsidRDefault="00F26357" w:rsidP="00F26357">
      <w:pPr>
        <w:pStyle w:val="ListParagraph"/>
        <w:widowControl w:val="0"/>
        <w:numPr>
          <w:ilvl w:val="0"/>
          <w:numId w:val="13"/>
        </w:numPr>
        <w:jc w:val="both"/>
        <w:rPr>
          <w:sz w:val="24"/>
          <w:szCs w:val="24"/>
          <w14:ligatures w14:val="none"/>
        </w:rPr>
      </w:pPr>
      <w:r w:rsidRPr="00D947CE">
        <w:rPr>
          <w:sz w:val="24"/>
          <w:szCs w:val="24"/>
          <w14:ligatures w14:val="none"/>
        </w:rPr>
        <w:t>A facility which is an LQG even one month of an odd-numbered reporting year must submit a biennial report which identifies HW generated the entire year, not just the month(s) it was an LQG.</w:t>
      </w:r>
    </w:p>
    <w:p w:rsidR="00F26357" w:rsidRPr="00D947CE" w:rsidRDefault="00F26357" w:rsidP="00F26357">
      <w:pPr>
        <w:pStyle w:val="ListParagraph"/>
        <w:widowControl w:val="0"/>
        <w:numPr>
          <w:ilvl w:val="0"/>
          <w:numId w:val="13"/>
        </w:numPr>
        <w:jc w:val="both"/>
        <w:rPr>
          <w:sz w:val="24"/>
          <w:szCs w:val="24"/>
          <w14:ligatures w14:val="none"/>
        </w:rPr>
      </w:pPr>
      <w:r w:rsidRPr="00D947CE">
        <w:rPr>
          <w:sz w:val="24"/>
          <w:szCs w:val="24"/>
          <w14:ligatures w14:val="none"/>
        </w:rPr>
        <w:t>Recycling facilities must report wastes that aren’t stored prior to recycling.</w:t>
      </w:r>
    </w:p>
    <w:p w:rsidR="00F26357" w:rsidRPr="00D947CE" w:rsidRDefault="00F26357" w:rsidP="00F26357">
      <w:pPr>
        <w:widowControl w:val="0"/>
        <w:ind w:firstLine="45"/>
        <w:jc w:val="both"/>
        <w:rPr>
          <w:sz w:val="24"/>
          <w:szCs w:val="24"/>
          <w14:ligatures w14:val="none"/>
        </w:rPr>
      </w:pPr>
    </w:p>
    <w:p w:rsidR="00F26357" w:rsidRDefault="00F26357" w:rsidP="00F26357">
      <w:pPr>
        <w:widowControl w:val="0"/>
        <w:jc w:val="both"/>
        <w:rPr>
          <w:rFonts w:ascii="Franklin Gothic Demi" w:hAnsi="Franklin Gothic Demi"/>
          <w:color w:val="0039A6"/>
          <w:sz w:val="24"/>
          <w:szCs w:val="24"/>
          <w14:ligatures w14:val="none"/>
        </w:rPr>
      </w:pPr>
      <w:r w:rsidRPr="00D947CE">
        <w:rPr>
          <w:rFonts w:ascii="Franklin Gothic Demi" w:hAnsi="Franklin Gothic Demi"/>
          <w:color w:val="0039A6"/>
          <w:sz w:val="24"/>
          <w:szCs w:val="24"/>
          <w14:ligatures w14:val="none"/>
        </w:rPr>
        <w:t>Satellite Accumulation Areas</w:t>
      </w:r>
    </w:p>
    <w:p w:rsidR="00F26357" w:rsidRPr="00D947CE" w:rsidRDefault="00F26357" w:rsidP="00F26357">
      <w:pPr>
        <w:widowControl w:val="0"/>
        <w:jc w:val="both"/>
        <w:rPr>
          <w:rFonts w:ascii="Franklin Gothic Demi" w:hAnsi="Franklin Gothic Demi"/>
          <w:color w:val="0039A6"/>
          <w:sz w:val="24"/>
          <w:szCs w:val="24"/>
          <w14:ligatures w14:val="none"/>
        </w:rPr>
      </w:pPr>
    </w:p>
    <w:p w:rsidR="00F26357" w:rsidRPr="00D947CE" w:rsidRDefault="00F26357" w:rsidP="00F26357">
      <w:pPr>
        <w:pStyle w:val="ListParagraph"/>
        <w:widowControl w:val="0"/>
        <w:numPr>
          <w:ilvl w:val="0"/>
          <w:numId w:val="14"/>
        </w:numPr>
        <w:ind w:left="360"/>
        <w:jc w:val="both"/>
        <w:rPr>
          <w:sz w:val="24"/>
          <w:szCs w:val="24"/>
          <w14:ligatures w14:val="none"/>
        </w:rPr>
      </w:pPr>
      <w:r w:rsidRPr="00D947CE">
        <w:rPr>
          <w:sz w:val="24"/>
          <w:szCs w:val="24"/>
          <w14:ligatures w14:val="none"/>
        </w:rPr>
        <w:t>HW must not be mixed or placed in a container with other incompatible HW.</w:t>
      </w:r>
    </w:p>
    <w:p w:rsidR="00F26357" w:rsidRPr="00D947CE" w:rsidRDefault="00F26357" w:rsidP="00F26357">
      <w:pPr>
        <w:pStyle w:val="ListParagraph"/>
        <w:widowControl w:val="0"/>
        <w:numPr>
          <w:ilvl w:val="0"/>
          <w:numId w:val="14"/>
        </w:numPr>
        <w:ind w:left="360"/>
        <w:jc w:val="both"/>
        <w:rPr>
          <w:sz w:val="24"/>
          <w:szCs w:val="24"/>
          <w14:ligatures w14:val="none"/>
        </w:rPr>
      </w:pPr>
      <w:r w:rsidRPr="00D947CE">
        <w:rPr>
          <w:sz w:val="24"/>
          <w:szCs w:val="24"/>
          <w14:ligatures w14:val="none"/>
        </w:rPr>
        <w:t>Containers can remain open under limited circumstances, when necessary, for safe operations.</w:t>
      </w:r>
    </w:p>
    <w:p w:rsidR="00F26357" w:rsidRPr="00D947CE" w:rsidRDefault="00F26357" w:rsidP="00F26357">
      <w:pPr>
        <w:pStyle w:val="ListParagraph"/>
        <w:widowControl w:val="0"/>
        <w:numPr>
          <w:ilvl w:val="0"/>
          <w:numId w:val="14"/>
        </w:numPr>
        <w:ind w:left="360"/>
        <w:jc w:val="both"/>
        <w:rPr>
          <w:sz w:val="24"/>
          <w:szCs w:val="24"/>
          <w14:ligatures w14:val="none"/>
        </w:rPr>
      </w:pPr>
      <w:r w:rsidRPr="00D947CE">
        <w:rPr>
          <w:sz w:val="24"/>
          <w:szCs w:val="24"/>
          <w14:ligatures w14:val="none"/>
        </w:rPr>
        <w:t>3 days means 3 consecutive calendar days.</w:t>
      </w:r>
    </w:p>
    <w:p w:rsidR="00F26357" w:rsidRPr="00D947CE" w:rsidRDefault="00F26357" w:rsidP="00F26357">
      <w:pPr>
        <w:pStyle w:val="ListParagraph"/>
        <w:widowControl w:val="0"/>
        <w:numPr>
          <w:ilvl w:val="0"/>
          <w:numId w:val="14"/>
        </w:numPr>
        <w:ind w:left="360"/>
        <w:jc w:val="both"/>
        <w:rPr>
          <w:sz w:val="24"/>
          <w:szCs w:val="24"/>
          <w14:ligatures w14:val="none"/>
        </w:rPr>
      </w:pPr>
      <w:r w:rsidRPr="00D947CE">
        <w:rPr>
          <w:sz w:val="24"/>
          <w:szCs w:val="24"/>
          <w14:ligatures w14:val="none"/>
        </w:rPr>
        <w:t>Provide maximum weight, in addition to volume for the acute HW limit.</w:t>
      </w:r>
    </w:p>
    <w:p w:rsidR="00F26357" w:rsidRPr="00D947CE" w:rsidRDefault="00F26357" w:rsidP="00F26357">
      <w:pPr>
        <w:pStyle w:val="ListParagraph"/>
        <w:widowControl w:val="0"/>
        <w:numPr>
          <w:ilvl w:val="0"/>
          <w:numId w:val="14"/>
        </w:numPr>
        <w:ind w:left="360"/>
        <w:jc w:val="both"/>
        <w:rPr>
          <w:sz w:val="24"/>
          <w:szCs w:val="24"/>
          <w14:ligatures w14:val="none"/>
        </w:rPr>
      </w:pPr>
      <w:r w:rsidRPr="00D947CE">
        <w:rPr>
          <w:sz w:val="24"/>
          <w:szCs w:val="24"/>
          <w14:ligatures w14:val="none"/>
        </w:rPr>
        <w:t>When maximum weight or volume is exceeded, HW must be moved to a central accumulation area or TSDF.</w:t>
      </w:r>
    </w:p>
    <w:p w:rsidR="00F26357" w:rsidRPr="00D947CE" w:rsidRDefault="00F26357" w:rsidP="00F26357">
      <w:pPr>
        <w:widowControl w:val="0"/>
        <w:jc w:val="both"/>
        <w:rPr>
          <w:sz w:val="24"/>
          <w:szCs w:val="24"/>
          <w14:ligatures w14:val="none"/>
        </w:rPr>
      </w:pPr>
    </w:p>
    <w:p w:rsidR="00F26357" w:rsidRDefault="00F26357" w:rsidP="00F26357">
      <w:pPr>
        <w:widowControl w:val="0"/>
        <w:jc w:val="both"/>
        <w:rPr>
          <w:rFonts w:ascii="Franklin Gothic Demi" w:hAnsi="Franklin Gothic Demi"/>
          <w:color w:val="0039A6"/>
          <w:sz w:val="24"/>
          <w:szCs w:val="24"/>
          <w14:ligatures w14:val="none"/>
        </w:rPr>
      </w:pPr>
      <w:r w:rsidRPr="00D947CE">
        <w:rPr>
          <w:rFonts w:ascii="Franklin Gothic Demi" w:hAnsi="Franklin Gothic Demi"/>
          <w:color w:val="0039A6"/>
          <w:sz w:val="24"/>
          <w:szCs w:val="24"/>
          <w14:ligatures w14:val="none"/>
        </w:rPr>
        <w:t>Episodic Generation</w:t>
      </w:r>
    </w:p>
    <w:p w:rsidR="00F26357" w:rsidRPr="00D947CE" w:rsidRDefault="00F26357" w:rsidP="00F26357">
      <w:pPr>
        <w:widowControl w:val="0"/>
        <w:jc w:val="both"/>
        <w:rPr>
          <w:rFonts w:ascii="Franklin Gothic Demi" w:hAnsi="Franklin Gothic Demi"/>
          <w:color w:val="0039A6"/>
          <w:sz w:val="24"/>
          <w:szCs w:val="24"/>
          <w14:ligatures w14:val="none"/>
        </w:rPr>
      </w:pPr>
    </w:p>
    <w:p w:rsidR="00F26357" w:rsidRDefault="00F26357" w:rsidP="00F26357">
      <w:pPr>
        <w:widowControl w:val="0"/>
        <w:jc w:val="both"/>
        <w:rPr>
          <w:color w:val="auto"/>
          <w:sz w:val="24"/>
          <w:szCs w:val="24"/>
          <w14:ligatures w14:val="none"/>
        </w:rPr>
      </w:pPr>
      <w:r w:rsidRPr="00D947CE">
        <w:rPr>
          <w:color w:val="auto"/>
          <w:sz w:val="24"/>
          <w:szCs w:val="24"/>
          <w14:ligatures w14:val="none"/>
        </w:rPr>
        <w:t>Allows generators to maintain their existing category provided they comply with certain requirements:</w:t>
      </w:r>
    </w:p>
    <w:p w:rsidR="00F26357" w:rsidRPr="00D947CE" w:rsidRDefault="00F26357" w:rsidP="00F26357">
      <w:pPr>
        <w:widowControl w:val="0"/>
        <w:jc w:val="both"/>
        <w:rPr>
          <w:rFonts w:ascii="Franklin Gothic Demi" w:hAnsi="Franklin Gothic Demi"/>
          <w:color w:val="auto"/>
          <w:sz w:val="24"/>
          <w:szCs w:val="24"/>
          <w14:ligatures w14:val="none"/>
        </w:rPr>
      </w:pPr>
    </w:p>
    <w:p w:rsidR="00F26357" w:rsidRPr="00D947CE" w:rsidRDefault="00F26357" w:rsidP="00F26357">
      <w:pPr>
        <w:pStyle w:val="ListParagraph"/>
        <w:widowControl w:val="0"/>
        <w:numPr>
          <w:ilvl w:val="0"/>
          <w:numId w:val="15"/>
        </w:numPr>
        <w:jc w:val="both"/>
        <w:rPr>
          <w:color w:val="auto"/>
          <w:sz w:val="24"/>
          <w:szCs w:val="24"/>
          <w14:ligatures w14:val="none"/>
        </w:rPr>
      </w:pPr>
      <w:r w:rsidRPr="00D947CE">
        <w:rPr>
          <w:color w:val="auto"/>
          <w:sz w:val="24"/>
          <w:szCs w:val="24"/>
          <w14:ligatures w14:val="none"/>
        </w:rPr>
        <w:t>Only allowed once per calendar year with the ability to petition for a second event (only if it’s unplanned).</w:t>
      </w:r>
    </w:p>
    <w:p w:rsidR="00F26357" w:rsidRPr="00D947CE" w:rsidRDefault="00F26357" w:rsidP="00F26357">
      <w:pPr>
        <w:pStyle w:val="ListParagraph"/>
        <w:widowControl w:val="0"/>
        <w:numPr>
          <w:ilvl w:val="0"/>
          <w:numId w:val="15"/>
        </w:numPr>
        <w:jc w:val="both"/>
        <w:rPr>
          <w:color w:val="auto"/>
          <w:sz w:val="24"/>
          <w:szCs w:val="24"/>
          <w14:ligatures w14:val="none"/>
        </w:rPr>
      </w:pPr>
      <w:r w:rsidRPr="00D947CE">
        <w:rPr>
          <w:color w:val="auto"/>
          <w:sz w:val="24"/>
          <w:szCs w:val="24"/>
          <w14:ligatures w14:val="none"/>
        </w:rPr>
        <w:lastRenderedPageBreak/>
        <w:t>Notify EPA or State 30 days prior to initiating a planned episodic event (72 hours for unplanned), and have up to 60 days to complete and ship waste offsite.</w:t>
      </w:r>
    </w:p>
    <w:p w:rsidR="00F26357" w:rsidRPr="00D947CE" w:rsidRDefault="00F26357" w:rsidP="00F26357">
      <w:pPr>
        <w:pStyle w:val="ListParagraph"/>
        <w:widowControl w:val="0"/>
        <w:numPr>
          <w:ilvl w:val="0"/>
          <w:numId w:val="15"/>
        </w:numPr>
        <w:jc w:val="both"/>
        <w:rPr>
          <w:color w:val="auto"/>
          <w:sz w:val="24"/>
          <w:szCs w:val="24"/>
          <w14:ligatures w14:val="none"/>
        </w:rPr>
      </w:pPr>
      <w:r w:rsidRPr="00D947CE">
        <w:rPr>
          <w:color w:val="auto"/>
          <w:sz w:val="24"/>
          <w:szCs w:val="24"/>
          <w14:ligatures w14:val="none"/>
        </w:rPr>
        <w:t>Records must be kept for 3 years.</w:t>
      </w:r>
    </w:p>
    <w:p w:rsidR="00F26357" w:rsidRPr="00D947CE" w:rsidRDefault="00F26357" w:rsidP="00F26357">
      <w:pPr>
        <w:pStyle w:val="ListParagraph"/>
        <w:widowControl w:val="0"/>
        <w:numPr>
          <w:ilvl w:val="0"/>
          <w:numId w:val="15"/>
        </w:numPr>
        <w:jc w:val="both"/>
        <w:rPr>
          <w:color w:val="auto"/>
          <w:sz w:val="24"/>
          <w:szCs w:val="24"/>
          <w14:ligatures w14:val="none"/>
        </w:rPr>
      </w:pPr>
      <w:r w:rsidRPr="00D947CE">
        <w:rPr>
          <w:color w:val="auto"/>
          <w:sz w:val="24"/>
          <w:szCs w:val="24"/>
          <w14:ligatures w14:val="none"/>
        </w:rPr>
        <w:t>Planned and unplanned events are further defined in the new regulation as well.</w:t>
      </w:r>
    </w:p>
    <w:p w:rsidR="00F26357" w:rsidRPr="00D947CE" w:rsidRDefault="00F26357" w:rsidP="00F26357">
      <w:pPr>
        <w:widowControl w:val="0"/>
        <w:jc w:val="both"/>
        <w:rPr>
          <w:sz w:val="24"/>
          <w:szCs w:val="24"/>
          <w14:ligatures w14:val="none"/>
        </w:rPr>
      </w:pPr>
    </w:p>
    <w:p w:rsidR="00F26357" w:rsidRDefault="00F26357" w:rsidP="00F26357">
      <w:pPr>
        <w:widowControl w:val="0"/>
        <w:jc w:val="both"/>
        <w:rPr>
          <w:rFonts w:ascii="Franklin Gothic Demi" w:hAnsi="Franklin Gothic Demi"/>
          <w:color w:val="0039A6"/>
          <w:sz w:val="24"/>
          <w:szCs w:val="24"/>
          <w14:ligatures w14:val="none"/>
        </w:rPr>
      </w:pPr>
      <w:r w:rsidRPr="00D947CE">
        <w:rPr>
          <w:rFonts w:ascii="Franklin Gothic Demi" w:hAnsi="Franklin Gothic Demi"/>
          <w:color w:val="0039A6"/>
          <w:sz w:val="24"/>
          <w:szCs w:val="24"/>
          <w14:ligatures w14:val="none"/>
        </w:rPr>
        <w:t>HW Determinations</w:t>
      </w:r>
    </w:p>
    <w:p w:rsidR="00F26357" w:rsidRPr="00D947CE" w:rsidRDefault="00F26357" w:rsidP="00F26357">
      <w:pPr>
        <w:widowControl w:val="0"/>
        <w:jc w:val="both"/>
        <w:rPr>
          <w:rFonts w:ascii="Franklin Gothic Demi" w:hAnsi="Franklin Gothic Demi"/>
          <w:color w:val="0039A6"/>
          <w:sz w:val="24"/>
          <w:szCs w:val="24"/>
          <w14:ligatures w14:val="none"/>
        </w:rPr>
      </w:pPr>
    </w:p>
    <w:p w:rsidR="00F26357" w:rsidRPr="00D947CE" w:rsidRDefault="00F26357" w:rsidP="00F26357">
      <w:pPr>
        <w:pStyle w:val="ListParagraph"/>
        <w:widowControl w:val="0"/>
        <w:numPr>
          <w:ilvl w:val="0"/>
          <w:numId w:val="14"/>
        </w:numPr>
        <w:ind w:left="360"/>
        <w:jc w:val="both"/>
        <w:rPr>
          <w:sz w:val="24"/>
          <w:szCs w:val="24"/>
          <w14:ligatures w14:val="none"/>
        </w:rPr>
      </w:pPr>
      <w:r w:rsidRPr="00D947CE">
        <w:rPr>
          <w:sz w:val="24"/>
          <w:szCs w:val="24"/>
          <w14:ligatures w14:val="none"/>
        </w:rPr>
        <w:t>Generator’s waste must be classified at its point of generation and at any time during the course of its management. Container markings and labels apply at the point of generation as well.</w:t>
      </w:r>
    </w:p>
    <w:p w:rsidR="00F26357" w:rsidRPr="00D947CE" w:rsidRDefault="00F26357" w:rsidP="00F26357">
      <w:pPr>
        <w:pStyle w:val="ListParagraph"/>
        <w:widowControl w:val="0"/>
        <w:numPr>
          <w:ilvl w:val="0"/>
          <w:numId w:val="14"/>
        </w:numPr>
        <w:ind w:left="360"/>
        <w:jc w:val="both"/>
        <w:rPr>
          <w:sz w:val="24"/>
          <w:szCs w:val="24"/>
          <w14:ligatures w14:val="none"/>
        </w:rPr>
      </w:pPr>
      <w:r w:rsidRPr="00D947CE">
        <w:rPr>
          <w:sz w:val="24"/>
          <w:szCs w:val="24"/>
          <w14:ligatures w14:val="none"/>
        </w:rPr>
        <w:t>Explains in more detail how generators can use generator knowledge and how a generator should evaluate its waste for hazardous characteristics.</w:t>
      </w:r>
    </w:p>
    <w:p w:rsidR="00F26357" w:rsidRPr="00D947CE" w:rsidRDefault="00F26357" w:rsidP="00F26357">
      <w:pPr>
        <w:pStyle w:val="ListParagraph"/>
        <w:widowControl w:val="0"/>
        <w:numPr>
          <w:ilvl w:val="0"/>
          <w:numId w:val="14"/>
        </w:numPr>
        <w:ind w:left="360"/>
        <w:jc w:val="both"/>
        <w:rPr>
          <w:sz w:val="24"/>
          <w:szCs w:val="24"/>
          <w14:ligatures w14:val="none"/>
        </w:rPr>
      </w:pPr>
      <w:r w:rsidRPr="00D947CE">
        <w:rPr>
          <w:sz w:val="24"/>
          <w:szCs w:val="24"/>
          <w14:ligatures w14:val="none"/>
        </w:rPr>
        <w:t>If HW is mixed with solid waste, the generator must make a determination for the resulting mixture.</w:t>
      </w:r>
    </w:p>
    <w:p w:rsidR="00F26357" w:rsidRPr="00D947CE" w:rsidRDefault="00F26357" w:rsidP="00F26357">
      <w:pPr>
        <w:widowControl w:val="0"/>
        <w:jc w:val="both"/>
        <w:rPr>
          <w:sz w:val="24"/>
          <w:szCs w:val="24"/>
          <w14:ligatures w14:val="none"/>
        </w:rPr>
      </w:pPr>
    </w:p>
    <w:p w:rsidR="00F26357" w:rsidRDefault="00F26357" w:rsidP="00F26357">
      <w:pPr>
        <w:widowControl w:val="0"/>
        <w:jc w:val="both"/>
        <w:rPr>
          <w:rFonts w:ascii="Franklin Gothic Demi" w:hAnsi="Franklin Gothic Demi"/>
          <w:color w:val="0039A6"/>
          <w:sz w:val="24"/>
          <w:szCs w:val="24"/>
          <w14:ligatures w14:val="none"/>
        </w:rPr>
      </w:pPr>
      <w:r w:rsidRPr="00D947CE">
        <w:rPr>
          <w:rFonts w:ascii="Franklin Gothic Demi" w:hAnsi="Franklin Gothic Demi"/>
          <w:color w:val="0039A6"/>
          <w:sz w:val="24"/>
          <w:szCs w:val="24"/>
          <w14:ligatures w14:val="none"/>
        </w:rPr>
        <w:t>50-Foot Waiver for Fires</w:t>
      </w:r>
    </w:p>
    <w:p w:rsidR="00F26357" w:rsidRPr="00D947CE" w:rsidRDefault="00F26357" w:rsidP="00F26357">
      <w:pPr>
        <w:widowControl w:val="0"/>
        <w:jc w:val="both"/>
        <w:rPr>
          <w:rFonts w:ascii="Franklin Gothic Demi" w:hAnsi="Franklin Gothic Demi"/>
          <w:color w:val="0039A6"/>
          <w:sz w:val="24"/>
          <w:szCs w:val="24"/>
          <w14:ligatures w14:val="none"/>
        </w:rPr>
      </w:pPr>
    </w:p>
    <w:p w:rsidR="00F26357" w:rsidRPr="00D947CE" w:rsidRDefault="00F26357" w:rsidP="00F26357">
      <w:pPr>
        <w:pStyle w:val="ListParagraph"/>
        <w:widowControl w:val="0"/>
        <w:numPr>
          <w:ilvl w:val="0"/>
          <w:numId w:val="14"/>
        </w:numPr>
        <w:ind w:left="360"/>
        <w:jc w:val="both"/>
        <w:rPr>
          <w:sz w:val="24"/>
          <w:szCs w:val="24"/>
          <w14:ligatures w14:val="none"/>
        </w:rPr>
      </w:pPr>
      <w:r w:rsidRPr="00D947CE">
        <w:rPr>
          <w:sz w:val="24"/>
          <w:szCs w:val="24"/>
          <w14:ligatures w14:val="none"/>
        </w:rPr>
        <w:t>Allows generators to approach the fire department to receive a waiver for ignitable and reactive wastes to be stored less than 50-ft from the facility’s property line if the fire department believes that the precautions taken by the facility make the waiver appropriate and safe.</w:t>
      </w:r>
    </w:p>
    <w:p w:rsidR="00F26357" w:rsidRPr="00D947CE" w:rsidRDefault="00F26357" w:rsidP="00F26357">
      <w:pPr>
        <w:widowControl w:val="0"/>
        <w:jc w:val="both"/>
        <w:rPr>
          <w:sz w:val="24"/>
          <w:szCs w:val="24"/>
          <w14:ligatures w14:val="none"/>
        </w:rPr>
      </w:pPr>
    </w:p>
    <w:p w:rsidR="00F26357" w:rsidRPr="00D947CE" w:rsidRDefault="00F26357" w:rsidP="00F26357">
      <w:pPr>
        <w:widowControl w:val="0"/>
        <w:jc w:val="both"/>
        <w:rPr>
          <w:rFonts w:ascii="Franklin Gothic Demi" w:hAnsi="Franklin Gothic Demi"/>
          <w:color w:val="FF0000"/>
          <w:sz w:val="24"/>
          <w:szCs w:val="24"/>
          <w14:ligatures w14:val="none"/>
        </w:rPr>
      </w:pPr>
      <w:r w:rsidRPr="00D947CE">
        <w:rPr>
          <w:rFonts w:ascii="Franklin Gothic Demi" w:hAnsi="Franklin Gothic Demi"/>
          <w:color w:val="0039A6"/>
          <w:sz w:val="24"/>
          <w:szCs w:val="24"/>
          <w14:ligatures w14:val="none"/>
        </w:rPr>
        <w:t>Closures</w:t>
      </w:r>
    </w:p>
    <w:p w:rsidR="00F26357" w:rsidRPr="00F26357" w:rsidRDefault="00F26357" w:rsidP="00F26357">
      <w:pPr>
        <w:widowControl w:val="0"/>
        <w:jc w:val="both"/>
        <w:rPr>
          <w:sz w:val="24"/>
          <w:szCs w:val="24"/>
          <w14:ligatures w14:val="none"/>
        </w:rPr>
      </w:pPr>
    </w:p>
    <w:p w:rsidR="00F26357" w:rsidRPr="00D947CE" w:rsidRDefault="00F26357" w:rsidP="00F26357">
      <w:pPr>
        <w:pStyle w:val="ListParagraph"/>
        <w:widowControl w:val="0"/>
        <w:numPr>
          <w:ilvl w:val="0"/>
          <w:numId w:val="14"/>
        </w:numPr>
        <w:ind w:left="360"/>
        <w:jc w:val="both"/>
        <w:rPr>
          <w:sz w:val="24"/>
          <w:szCs w:val="24"/>
          <w14:ligatures w14:val="none"/>
        </w:rPr>
      </w:pPr>
      <w:r w:rsidRPr="00D947CE">
        <w:rPr>
          <w:sz w:val="24"/>
          <w:szCs w:val="24"/>
          <w14:ligatures w14:val="none"/>
        </w:rPr>
        <w:t>Requires closure as a landfill for when LQGs accumulating in containers fail to clean close.</w:t>
      </w:r>
    </w:p>
    <w:p w:rsidR="00F26357" w:rsidRPr="00D947CE" w:rsidRDefault="00F26357" w:rsidP="00F26357">
      <w:pPr>
        <w:pStyle w:val="ListParagraph"/>
        <w:widowControl w:val="0"/>
        <w:numPr>
          <w:ilvl w:val="0"/>
          <w:numId w:val="14"/>
        </w:numPr>
        <w:ind w:left="360"/>
        <w:jc w:val="both"/>
        <w:rPr>
          <w:sz w:val="24"/>
          <w:szCs w:val="24"/>
          <w14:ligatures w14:val="none"/>
        </w:rPr>
      </w:pPr>
      <w:r w:rsidRPr="00D947CE">
        <w:rPr>
          <w:sz w:val="24"/>
          <w:szCs w:val="24"/>
          <w14:ligatures w14:val="none"/>
        </w:rPr>
        <w:t>Requires LQGs to notify EPA or authorized state no later than 30 days prior to closing an accumulation area and within 90 days after a closure of a unit or facility.</w:t>
      </w:r>
    </w:p>
    <w:p w:rsidR="00F26357" w:rsidRPr="00D947CE" w:rsidRDefault="00F26357" w:rsidP="00F26357">
      <w:pPr>
        <w:widowControl w:val="0"/>
        <w:jc w:val="both"/>
        <w:rPr>
          <w:rFonts w:ascii="Franklin Gothic Demi" w:hAnsi="Franklin Gothic Demi"/>
          <w:color w:val="0039A6"/>
          <w:sz w:val="24"/>
          <w:szCs w:val="24"/>
          <w14:ligatures w14:val="none"/>
        </w:rPr>
      </w:pPr>
    </w:p>
    <w:p w:rsidR="00F26357" w:rsidRPr="00D947CE" w:rsidRDefault="00F26357" w:rsidP="00F26357">
      <w:pPr>
        <w:widowControl w:val="0"/>
        <w:jc w:val="both"/>
        <w:rPr>
          <w:rFonts w:ascii="Franklin Gothic Demi" w:hAnsi="Franklin Gothic Demi"/>
          <w:color w:val="0039A6"/>
          <w:sz w:val="24"/>
          <w:szCs w:val="24"/>
          <w14:ligatures w14:val="none"/>
        </w:rPr>
      </w:pPr>
      <w:r w:rsidRPr="00D947CE">
        <w:rPr>
          <w:rFonts w:ascii="Franklin Gothic Demi" w:hAnsi="Franklin Gothic Demi"/>
          <w:color w:val="0039A6"/>
          <w:sz w:val="24"/>
          <w:szCs w:val="24"/>
          <w14:ligatures w14:val="none"/>
        </w:rPr>
        <w:t>Reorganization of Generator Requirements</w:t>
      </w:r>
    </w:p>
    <w:p w:rsidR="00F26357" w:rsidRDefault="00F26357" w:rsidP="00F26357">
      <w:pPr>
        <w:widowControl w:val="0"/>
        <w:jc w:val="both"/>
        <w:rPr>
          <w:sz w:val="24"/>
          <w:szCs w:val="24"/>
          <w14:ligatures w14:val="none"/>
        </w:rPr>
      </w:pPr>
    </w:p>
    <w:p w:rsidR="00F26357" w:rsidRDefault="00F26357" w:rsidP="00F26357">
      <w:pPr>
        <w:widowControl w:val="0"/>
        <w:jc w:val="both"/>
        <w:rPr>
          <w:sz w:val="24"/>
          <w:szCs w:val="24"/>
          <w14:ligatures w14:val="none"/>
        </w:rPr>
      </w:pPr>
      <w:r w:rsidRPr="00D947CE">
        <w:rPr>
          <w:sz w:val="24"/>
          <w:szCs w:val="24"/>
          <w14:ligatures w14:val="none"/>
        </w:rPr>
        <w:t>Some of the citation numbers for provisions within the regulation will change:</w:t>
      </w:r>
    </w:p>
    <w:p w:rsidR="00F26357" w:rsidRPr="00D947CE" w:rsidRDefault="00F26357" w:rsidP="00F26357">
      <w:pPr>
        <w:widowControl w:val="0"/>
        <w:jc w:val="both"/>
        <w:rPr>
          <w:sz w:val="24"/>
          <w:szCs w:val="24"/>
          <w14:ligatures w14:val="none"/>
        </w:rPr>
      </w:pPr>
    </w:p>
    <w:p w:rsidR="00F26357" w:rsidRPr="00D947CE" w:rsidRDefault="00F26357" w:rsidP="00F26357">
      <w:pPr>
        <w:pStyle w:val="ListParagraph"/>
        <w:widowControl w:val="0"/>
        <w:numPr>
          <w:ilvl w:val="0"/>
          <w:numId w:val="16"/>
        </w:numPr>
        <w:jc w:val="both"/>
        <w:rPr>
          <w:sz w:val="24"/>
          <w:szCs w:val="24"/>
          <w14:ligatures w14:val="none"/>
        </w:rPr>
      </w:pPr>
      <w:r w:rsidRPr="00D947CE">
        <w:rPr>
          <w:sz w:val="24"/>
          <w:szCs w:val="24"/>
          <w14:ligatures w14:val="none"/>
        </w:rPr>
        <w:t>Generator Category Determination, Citations 261.5(c)-(e) will become 262.13.</w:t>
      </w:r>
    </w:p>
    <w:p w:rsidR="00F26357" w:rsidRPr="00D947CE" w:rsidRDefault="00F26357" w:rsidP="00F26357">
      <w:pPr>
        <w:pStyle w:val="ListParagraph"/>
        <w:widowControl w:val="0"/>
        <w:numPr>
          <w:ilvl w:val="0"/>
          <w:numId w:val="16"/>
        </w:numPr>
        <w:jc w:val="both"/>
        <w:rPr>
          <w:sz w:val="24"/>
          <w:szCs w:val="24"/>
          <w14:ligatures w14:val="none"/>
        </w:rPr>
      </w:pPr>
      <w:r w:rsidRPr="00D947CE">
        <w:rPr>
          <w:sz w:val="24"/>
          <w:szCs w:val="24"/>
          <w14:ligatures w14:val="none"/>
        </w:rPr>
        <w:t>VSQG (CESQG) Provisions, Citations 261.5(a), (b), (f)-(g) will become 262.14.</w:t>
      </w:r>
    </w:p>
    <w:p w:rsidR="00F26357" w:rsidRPr="00D947CE" w:rsidRDefault="00F26357" w:rsidP="00F26357">
      <w:pPr>
        <w:pStyle w:val="ListParagraph"/>
        <w:widowControl w:val="0"/>
        <w:numPr>
          <w:ilvl w:val="0"/>
          <w:numId w:val="16"/>
        </w:numPr>
        <w:jc w:val="both"/>
        <w:rPr>
          <w:sz w:val="24"/>
          <w:szCs w:val="24"/>
          <w14:ligatures w14:val="none"/>
        </w:rPr>
      </w:pPr>
      <w:r w:rsidRPr="00D947CE">
        <w:rPr>
          <w:sz w:val="24"/>
          <w:szCs w:val="24"/>
          <w14:ligatures w14:val="none"/>
        </w:rPr>
        <w:t>Satellite Accumulation Area Provisions, Citation 262.34(c) will become 262.15.</w:t>
      </w:r>
    </w:p>
    <w:p w:rsidR="00F26357" w:rsidRPr="00D947CE" w:rsidRDefault="00F26357" w:rsidP="00F26357">
      <w:pPr>
        <w:pStyle w:val="ListParagraph"/>
        <w:widowControl w:val="0"/>
        <w:numPr>
          <w:ilvl w:val="0"/>
          <w:numId w:val="16"/>
        </w:numPr>
        <w:jc w:val="both"/>
        <w:rPr>
          <w:sz w:val="24"/>
          <w:szCs w:val="24"/>
          <w14:ligatures w14:val="none"/>
        </w:rPr>
      </w:pPr>
      <w:r w:rsidRPr="00D947CE">
        <w:rPr>
          <w:sz w:val="24"/>
          <w:szCs w:val="24"/>
          <w14:ligatures w14:val="none"/>
        </w:rPr>
        <w:t>SQG Provisions, Citations 262.34(d)-(f) will become 262.16.</w:t>
      </w:r>
    </w:p>
    <w:p w:rsidR="00F26357" w:rsidRPr="00D947CE" w:rsidRDefault="00F26357" w:rsidP="00F26357">
      <w:pPr>
        <w:pStyle w:val="ListParagraph"/>
        <w:widowControl w:val="0"/>
        <w:numPr>
          <w:ilvl w:val="0"/>
          <w:numId w:val="16"/>
        </w:numPr>
        <w:jc w:val="both"/>
        <w:rPr>
          <w:sz w:val="24"/>
          <w:szCs w:val="24"/>
          <w14:ligatures w14:val="none"/>
        </w:rPr>
      </w:pPr>
      <w:r w:rsidRPr="00D947CE">
        <w:rPr>
          <w:sz w:val="24"/>
          <w:szCs w:val="24"/>
          <w14:ligatures w14:val="none"/>
        </w:rPr>
        <w:t>LQG Provisions, Citations 262.34(a), (b),(g)-(l), (m) will become 262.17</w:t>
      </w:r>
    </w:p>
    <w:p w:rsidR="00F26357" w:rsidRPr="00D947CE" w:rsidRDefault="00F26357" w:rsidP="00F26357">
      <w:pPr>
        <w:widowControl w:val="0"/>
        <w:jc w:val="both"/>
        <w:rPr>
          <w:sz w:val="24"/>
          <w:szCs w:val="24"/>
          <w14:ligatures w14:val="none"/>
        </w:rPr>
      </w:pPr>
    </w:p>
    <w:p w:rsidR="00F26357" w:rsidRPr="00D947CE" w:rsidRDefault="00F26357" w:rsidP="00F26357">
      <w:pPr>
        <w:widowControl w:val="0"/>
        <w:jc w:val="both"/>
        <w:rPr>
          <w:rFonts w:ascii="Franklin Gothic Demi" w:hAnsi="Franklin Gothic Demi"/>
          <w:color w:val="0039A6"/>
          <w:sz w:val="24"/>
          <w:szCs w:val="24"/>
          <w14:ligatures w14:val="none"/>
        </w:rPr>
      </w:pPr>
      <w:r w:rsidRPr="00D947CE">
        <w:rPr>
          <w:rFonts w:ascii="Franklin Gothic Demi" w:hAnsi="Franklin Gothic Demi"/>
          <w:color w:val="0039A6"/>
          <w:sz w:val="24"/>
          <w:szCs w:val="24"/>
          <w14:ligatures w14:val="none"/>
        </w:rPr>
        <w:t>Other Clarifications</w:t>
      </w:r>
    </w:p>
    <w:p w:rsidR="00F26357" w:rsidRDefault="00F26357" w:rsidP="00F26357">
      <w:pPr>
        <w:widowControl w:val="0"/>
        <w:jc w:val="both"/>
        <w:rPr>
          <w:sz w:val="24"/>
          <w:szCs w:val="24"/>
          <w14:ligatures w14:val="none"/>
        </w:rPr>
      </w:pPr>
    </w:p>
    <w:p w:rsidR="00F26357" w:rsidRDefault="00F26357" w:rsidP="00F26357">
      <w:pPr>
        <w:widowControl w:val="0"/>
        <w:jc w:val="both"/>
        <w:rPr>
          <w:sz w:val="24"/>
          <w:szCs w:val="24"/>
          <w14:ligatures w14:val="none"/>
        </w:rPr>
      </w:pPr>
      <w:r w:rsidRPr="00D947CE">
        <w:rPr>
          <w:sz w:val="24"/>
          <w:szCs w:val="24"/>
          <w14:ligatures w14:val="none"/>
        </w:rPr>
        <w:t>Additional clarifying guidance has been added for these situations.</w:t>
      </w:r>
    </w:p>
    <w:p w:rsidR="00F26357" w:rsidRPr="00D947CE" w:rsidRDefault="00F26357" w:rsidP="00F26357">
      <w:pPr>
        <w:widowControl w:val="0"/>
        <w:jc w:val="both"/>
        <w:rPr>
          <w:sz w:val="24"/>
          <w:szCs w:val="24"/>
          <w14:ligatures w14:val="none"/>
        </w:rPr>
      </w:pPr>
    </w:p>
    <w:p w:rsidR="00F26357" w:rsidRPr="00D947CE" w:rsidRDefault="00F26357" w:rsidP="00F26357">
      <w:pPr>
        <w:pStyle w:val="ListParagraph"/>
        <w:widowControl w:val="0"/>
        <w:numPr>
          <w:ilvl w:val="0"/>
          <w:numId w:val="17"/>
        </w:numPr>
        <w:jc w:val="both"/>
        <w:rPr>
          <w:sz w:val="24"/>
          <w:szCs w:val="24"/>
          <w14:ligatures w14:val="none"/>
        </w:rPr>
      </w:pPr>
      <w:r w:rsidRPr="00D947CE">
        <w:rPr>
          <w:sz w:val="24"/>
          <w:szCs w:val="24"/>
          <w14:ligatures w14:val="none"/>
        </w:rPr>
        <w:t>Determining generator category when generating acute and non-acute HW in the same month.</w:t>
      </w:r>
    </w:p>
    <w:p w:rsidR="00F26357" w:rsidRDefault="00F26357" w:rsidP="00F26357">
      <w:pPr>
        <w:pStyle w:val="ListParagraph"/>
        <w:widowControl w:val="0"/>
        <w:numPr>
          <w:ilvl w:val="0"/>
          <w:numId w:val="17"/>
        </w:numPr>
        <w:jc w:val="both"/>
        <w:rPr>
          <w:sz w:val="24"/>
          <w:szCs w:val="24"/>
          <w14:ligatures w14:val="none"/>
        </w:rPr>
      </w:pPr>
      <w:r w:rsidRPr="00D947CE">
        <w:rPr>
          <w:sz w:val="24"/>
          <w:szCs w:val="24"/>
          <w14:ligatures w14:val="none"/>
        </w:rPr>
        <w:t>Determining generator category when mixing solid waste and HW.</w:t>
      </w:r>
    </w:p>
    <w:p w:rsidR="00F26357" w:rsidRPr="00D947CE" w:rsidRDefault="00F26357" w:rsidP="00F26357">
      <w:pPr>
        <w:pStyle w:val="ListParagraph"/>
        <w:widowControl w:val="0"/>
        <w:numPr>
          <w:ilvl w:val="0"/>
          <w:numId w:val="17"/>
        </w:numPr>
        <w:jc w:val="both"/>
        <w:rPr>
          <w:sz w:val="24"/>
          <w:szCs w:val="24"/>
          <w14:ligatures w14:val="none"/>
        </w:rPr>
      </w:pPr>
      <w:r w:rsidRPr="00D947CE">
        <w:rPr>
          <w:sz w:val="24"/>
          <w:szCs w:val="24"/>
          <w14:ligatures w14:val="none"/>
        </w:rPr>
        <w:t>Further explanation of the procedures for making HW determinations and counting HW.</w:t>
      </w:r>
    </w:p>
    <w:p w:rsidR="00F26357" w:rsidRPr="00D947CE" w:rsidRDefault="00F26357" w:rsidP="00F26357">
      <w:pPr>
        <w:pStyle w:val="ListParagraph"/>
        <w:widowControl w:val="0"/>
        <w:numPr>
          <w:ilvl w:val="0"/>
          <w:numId w:val="17"/>
        </w:numPr>
        <w:jc w:val="both"/>
        <w:rPr>
          <w:sz w:val="24"/>
          <w:szCs w:val="24"/>
          <w14:ligatures w14:val="none"/>
        </w:rPr>
      </w:pPr>
      <w:r w:rsidRPr="00D947CE">
        <w:rPr>
          <w:sz w:val="24"/>
          <w:szCs w:val="24"/>
          <w14:ligatures w14:val="none"/>
        </w:rPr>
        <w:t>Identifying the requirements for SQGs who accumulate HW on drip pads and in containment buildings.</w:t>
      </w:r>
    </w:p>
    <w:p w:rsidR="00F26357" w:rsidRDefault="00F26357" w:rsidP="00F26357">
      <w:pPr>
        <w:pStyle w:val="ListParagraph"/>
        <w:widowControl w:val="0"/>
        <w:numPr>
          <w:ilvl w:val="0"/>
          <w:numId w:val="17"/>
        </w:numPr>
        <w:jc w:val="both"/>
        <w:rPr>
          <w:sz w:val="24"/>
          <w:szCs w:val="24"/>
          <w14:ligatures w14:val="none"/>
        </w:rPr>
      </w:pPr>
      <w:r w:rsidRPr="00D947CE">
        <w:rPr>
          <w:sz w:val="24"/>
          <w:szCs w:val="24"/>
          <w14:ligatures w14:val="none"/>
        </w:rPr>
        <w:lastRenderedPageBreak/>
        <w:t>Defining terms not currently defined.</w:t>
      </w:r>
    </w:p>
    <w:p w:rsidR="00F26357" w:rsidRPr="00F26357" w:rsidRDefault="00F26357" w:rsidP="00F26357">
      <w:pPr>
        <w:widowControl w:val="0"/>
        <w:jc w:val="both"/>
        <w:rPr>
          <w:sz w:val="24"/>
          <w:szCs w:val="24"/>
          <w14:ligatures w14:val="none"/>
        </w:rPr>
      </w:pPr>
    </w:p>
    <w:p w:rsidR="00F26357" w:rsidRPr="00F26357" w:rsidRDefault="00F26357" w:rsidP="00F26357">
      <w:pPr>
        <w:widowControl w:val="0"/>
        <w:jc w:val="both"/>
        <w:rPr>
          <w:sz w:val="24"/>
          <w:szCs w:val="24"/>
          <w14:ligatures w14:val="none"/>
        </w:rPr>
      </w:pPr>
      <w:r>
        <w:rPr>
          <w:rFonts w:ascii="Franklin Gothic Demi" w:hAnsi="Franklin Gothic Demi"/>
          <w:color w:val="0039A6"/>
          <w:sz w:val="24"/>
          <w:szCs w:val="24"/>
          <w14:ligatures w14:val="none"/>
        </w:rPr>
        <w:t>Where Can I Find Assistance?</w:t>
      </w:r>
    </w:p>
    <w:p w:rsidR="00F26357" w:rsidRPr="00D947CE" w:rsidRDefault="00F26357" w:rsidP="00F26357">
      <w:pPr>
        <w:widowControl w:val="0"/>
        <w:ind w:left="360"/>
        <w:jc w:val="both"/>
        <w:rPr>
          <w:sz w:val="24"/>
          <w:szCs w:val="24"/>
          <w14:ligatures w14:val="none"/>
        </w:rPr>
      </w:pPr>
    </w:p>
    <w:p w:rsidR="00F26357" w:rsidRPr="00D947CE" w:rsidRDefault="00F26357" w:rsidP="00F26357">
      <w:pPr>
        <w:widowControl w:val="0"/>
        <w:jc w:val="both"/>
        <w:rPr>
          <w:sz w:val="24"/>
          <w:szCs w:val="24"/>
          <w14:ligatures w14:val="none"/>
        </w:rPr>
      </w:pPr>
      <w:r w:rsidRPr="00D947CE">
        <w:rPr>
          <w:sz w:val="24"/>
          <w:szCs w:val="24"/>
          <w14:ligatures w14:val="none"/>
        </w:rPr>
        <w:t xml:space="preserve">If you need help in navigating through these hazardous waste issues, or need help with reporting, inspections, training, or anything else, please contact </w:t>
      </w:r>
      <w:proofErr w:type="spellStart"/>
      <w:r>
        <w:rPr>
          <w:sz w:val="24"/>
          <w:szCs w:val="24"/>
          <w14:ligatures w14:val="none"/>
        </w:rPr>
        <w:t>iSi</w:t>
      </w:r>
      <w:proofErr w:type="spellEnd"/>
      <w:r w:rsidRPr="00D947CE">
        <w:rPr>
          <w:sz w:val="24"/>
          <w:szCs w:val="24"/>
          <w14:ligatures w14:val="none"/>
        </w:rPr>
        <w:t xml:space="preserve"> at (888) 264-7050</w:t>
      </w:r>
      <w:r>
        <w:rPr>
          <w:sz w:val="24"/>
          <w:szCs w:val="24"/>
          <w14:ligatures w14:val="none"/>
        </w:rPr>
        <w:t xml:space="preserve"> or email us at feedback@isienvironmental.com</w:t>
      </w:r>
      <w:r w:rsidRPr="00D947CE">
        <w:rPr>
          <w:sz w:val="24"/>
          <w:szCs w:val="24"/>
          <w14:ligatures w14:val="none"/>
        </w:rPr>
        <w:t xml:space="preserve"> for a price quote</w:t>
      </w:r>
      <w:r>
        <w:rPr>
          <w:sz w:val="24"/>
          <w:szCs w:val="24"/>
          <w14:ligatures w14:val="none"/>
        </w:rPr>
        <w:t>!</w:t>
      </w:r>
    </w:p>
    <w:p w:rsidR="009216AC" w:rsidRPr="00350005" w:rsidRDefault="009216AC" w:rsidP="00350005"/>
    <w:sectPr w:rsidR="009216AC" w:rsidRPr="00350005" w:rsidSect="00F26357">
      <w:headerReference w:type="default" r:id="rId8"/>
      <w:footerReference w:type="default" r:id="rId9"/>
      <w:headerReference w:type="first" r:id="rId10"/>
      <w:footerReference w:type="first" r:id="rId11"/>
      <w:pgSz w:w="12240" w:h="15840" w:code="1"/>
      <w:pgMar w:top="1440" w:right="1440" w:bottom="1440" w:left="1440"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6357" w:rsidRDefault="00F26357" w:rsidP="00B27BD0">
      <w:r>
        <w:separator/>
      </w:r>
    </w:p>
  </w:endnote>
  <w:endnote w:type="continuationSeparator" w:id="0">
    <w:p w:rsidR="00F26357" w:rsidRDefault="00F26357" w:rsidP="00B27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357" w:rsidRDefault="00F26357" w:rsidP="00F26357">
    <w:pPr>
      <w:pStyle w:val="Footer"/>
      <w:jc w:val="center"/>
      <w:rPr>
        <w:rFonts w:ascii="Franklin Gothic Book" w:hAnsi="Franklin Gothic Book"/>
        <w:sz w:val="19"/>
        <w:szCs w:val="19"/>
      </w:rPr>
    </w:pPr>
    <w:r w:rsidRPr="00F26357">
      <w:rPr>
        <w:rFonts w:ascii="Franklin Gothic Book" w:hAnsi="Franklin Gothic Book"/>
        <w:sz w:val="19"/>
        <w:szCs w:val="19"/>
      </w:rPr>
      <w:t xml:space="preserve">Questions? Let Us Help!  </w:t>
    </w:r>
  </w:p>
  <w:p w:rsidR="00F26357" w:rsidRPr="00F26357" w:rsidRDefault="00F26357" w:rsidP="00F26357">
    <w:pPr>
      <w:pStyle w:val="Footer"/>
      <w:jc w:val="center"/>
      <w:rPr>
        <w:rFonts w:ascii="Franklin Gothic Book" w:hAnsi="Franklin Gothic Book"/>
        <w:sz w:val="19"/>
        <w:szCs w:val="19"/>
      </w:rPr>
    </w:pPr>
    <w:r w:rsidRPr="00F26357">
      <w:rPr>
        <w:rFonts w:ascii="Franklin Gothic Book" w:hAnsi="Franklin Gothic Book"/>
        <w:sz w:val="19"/>
        <w:szCs w:val="19"/>
      </w:rPr>
      <w:t xml:space="preserve">feedback@iSiEnvironmental.com  </w:t>
    </w:r>
    <w:r w:rsidRPr="00F26357">
      <w:rPr>
        <w:rFonts w:ascii="Franklin Gothic Book" w:hAnsi="Franklin Gothic Book"/>
        <w:sz w:val="19"/>
        <w:szCs w:val="19"/>
      </w:rPr>
      <w:sym w:font="Symbol" w:char="F0B7"/>
    </w:r>
    <w:r w:rsidRPr="00F26357">
      <w:rPr>
        <w:rFonts w:ascii="Franklin Gothic Book" w:hAnsi="Franklin Gothic Book"/>
        <w:sz w:val="19"/>
        <w:szCs w:val="19"/>
      </w:rPr>
      <w:t xml:space="preserve">  https://iSiEnvironmental.com </w:t>
    </w:r>
    <w:r w:rsidRPr="00F26357">
      <w:rPr>
        <w:rFonts w:ascii="Franklin Gothic Book" w:hAnsi="Franklin Gothic Book"/>
        <w:sz w:val="19"/>
        <w:szCs w:val="19"/>
      </w:rPr>
      <w:sym w:font="Symbol" w:char="F0B7"/>
    </w:r>
    <w:r w:rsidRPr="00F26357">
      <w:rPr>
        <w:rFonts w:ascii="Franklin Gothic Book" w:hAnsi="Franklin Gothic Book"/>
        <w:sz w:val="19"/>
        <w:szCs w:val="19"/>
      </w:rPr>
      <w:t xml:space="preserve">  (888) 264-7050</w:t>
    </w:r>
  </w:p>
  <w:p w:rsidR="00D7019F" w:rsidRPr="00F26357" w:rsidRDefault="00F26357" w:rsidP="00F26357">
    <w:pPr>
      <w:pStyle w:val="Footer"/>
      <w:jc w:val="center"/>
      <w:rPr>
        <w:rFonts w:ascii="Franklin Gothic Book" w:hAnsi="Franklin Gothic Book"/>
        <w:sz w:val="19"/>
        <w:szCs w:val="19"/>
      </w:rPr>
    </w:pPr>
    <w:r>
      <w:rPr>
        <w:rFonts w:ascii="Franklin Gothic Book" w:hAnsi="Franklin Gothic Book"/>
        <w:sz w:val="19"/>
        <w:szCs w:val="19"/>
      </w:rPr>
      <w:t xml:space="preserve">©2017 </w:t>
    </w:r>
    <w:proofErr w:type="spellStart"/>
    <w:r>
      <w:rPr>
        <w:rFonts w:ascii="Franklin Gothic Book" w:hAnsi="Franklin Gothic Book"/>
        <w:sz w:val="19"/>
        <w:szCs w:val="19"/>
      </w:rPr>
      <w:t>iSiEnvironmental</w:t>
    </w:r>
    <w:proofErr w:type="spellEnd"/>
  </w:p>
  <w:p w:rsidR="00C06170" w:rsidRPr="00CE77BD" w:rsidRDefault="00C06170">
    <w:pPr>
      <w:pStyle w:val="Footer"/>
      <w:rPr>
        <w:sz w:val="16"/>
        <w:szCs w:val="16"/>
      </w:rPr>
    </w:pPr>
    <w:r>
      <w:rPr>
        <w:noProof/>
      </w:rPr>
      <w:drawing>
        <wp:anchor distT="0" distB="0" distL="114300" distR="114300" simplePos="0" relativeHeight="251636736" behindDoc="1" locked="1" layoutInCell="1" allowOverlap="1" wp14:anchorId="779848CD" wp14:editId="282DCDA5">
          <wp:simplePos x="0" y="0"/>
          <wp:positionH relativeFrom="page">
            <wp:posOffset>6228080</wp:posOffset>
          </wp:positionH>
          <wp:positionV relativeFrom="page">
            <wp:posOffset>8825230</wp:posOffset>
          </wp:positionV>
          <wp:extent cx="943610" cy="685800"/>
          <wp:effectExtent l="0" t="0" r="889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 Alone RGB.eps"/>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43610"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6357" w:rsidRDefault="00F26357" w:rsidP="00F26357">
    <w:pPr>
      <w:pStyle w:val="Footer"/>
      <w:jc w:val="center"/>
      <w:rPr>
        <w:rFonts w:ascii="Franklin Gothic Book" w:hAnsi="Franklin Gothic Book"/>
        <w:sz w:val="19"/>
        <w:szCs w:val="19"/>
      </w:rPr>
    </w:pPr>
    <w:r w:rsidRPr="00F26357">
      <w:rPr>
        <w:rFonts w:ascii="Franklin Gothic Book" w:hAnsi="Franklin Gothic Book"/>
        <w:sz w:val="19"/>
        <w:szCs w:val="19"/>
      </w:rPr>
      <w:t xml:space="preserve">Questions? Let Us Help!  </w:t>
    </w:r>
  </w:p>
  <w:p w:rsidR="000818DE" w:rsidRDefault="00F26357" w:rsidP="00F26357">
    <w:pPr>
      <w:pStyle w:val="Footer"/>
      <w:jc w:val="center"/>
      <w:rPr>
        <w:rFonts w:ascii="Franklin Gothic Book" w:hAnsi="Franklin Gothic Book"/>
        <w:sz w:val="19"/>
        <w:szCs w:val="19"/>
      </w:rPr>
    </w:pPr>
    <w:r w:rsidRPr="00F26357">
      <w:rPr>
        <w:rFonts w:ascii="Franklin Gothic Book" w:hAnsi="Franklin Gothic Book"/>
        <w:sz w:val="19"/>
        <w:szCs w:val="19"/>
      </w:rPr>
      <w:t xml:space="preserve">feedback@iSiEnvironmental.com  </w:t>
    </w:r>
    <w:r w:rsidRPr="00F26357">
      <w:rPr>
        <w:rFonts w:ascii="Franklin Gothic Book" w:hAnsi="Franklin Gothic Book"/>
        <w:sz w:val="19"/>
        <w:szCs w:val="19"/>
      </w:rPr>
      <w:sym w:font="Symbol" w:char="F0B7"/>
    </w:r>
    <w:r w:rsidRPr="00F26357">
      <w:rPr>
        <w:rFonts w:ascii="Franklin Gothic Book" w:hAnsi="Franklin Gothic Book"/>
        <w:sz w:val="19"/>
        <w:szCs w:val="19"/>
      </w:rPr>
      <w:t xml:space="preserve">  https://iSiEnvironmental.com </w:t>
    </w:r>
    <w:r w:rsidRPr="00F26357">
      <w:rPr>
        <w:rFonts w:ascii="Franklin Gothic Book" w:hAnsi="Franklin Gothic Book"/>
        <w:sz w:val="19"/>
        <w:szCs w:val="19"/>
      </w:rPr>
      <w:sym w:font="Symbol" w:char="F0B7"/>
    </w:r>
    <w:r w:rsidRPr="00F26357">
      <w:rPr>
        <w:rFonts w:ascii="Franklin Gothic Book" w:hAnsi="Franklin Gothic Book"/>
        <w:sz w:val="19"/>
        <w:szCs w:val="19"/>
      </w:rPr>
      <w:t xml:space="preserve">  (888) 264-7050</w:t>
    </w:r>
  </w:p>
  <w:p w:rsidR="00F26357" w:rsidRPr="00F26357" w:rsidRDefault="00F26357" w:rsidP="00F26357">
    <w:pPr>
      <w:pStyle w:val="Footer"/>
      <w:jc w:val="center"/>
      <w:rPr>
        <w:rFonts w:ascii="Franklin Gothic Book" w:hAnsi="Franklin Gothic Book"/>
        <w:sz w:val="19"/>
        <w:szCs w:val="19"/>
      </w:rPr>
    </w:pPr>
    <w:r>
      <w:rPr>
        <w:rFonts w:ascii="Franklin Gothic Book" w:hAnsi="Franklin Gothic Book"/>
        <w:sz w:val="19"/>
        <w:szCs w:val="19"/>
      </w:rPr>
      <w:t xml:space="preserve">©2017 </w:t>
    </w:r>
    <w:proofErr w:type="spellStart"/>
    <w:r>
      <w:rPr>
        <w:rFonts w:ascii="Franklin Gothic Book" w:hAnsi="Franklin Gothic Book"/>
        <w:sz w:val="19"/>
        <w:szCs w:val="19"/>
      </w:rPr>
      <w:t>iSiEnvironmental</w:t>
    </w:r>
    <w:proofErr w:type="spellEnd"/>
  </w:p>
  <w:p w:rsidR="000818DE" w:rsidRPr="000818DE" w:rsidRDefault="000818DE" w:rsidP="00C06170">
    <w:pPr>
      <w:pStyle w:val="Foo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6357" w:rsidRDefault="00F26357" w:rsidP="00B27BD0">
      <w:r>
        <w:separator/>
      </w:r>
    </w:p>
  </w:footnote>
  <w:footnote w:type="continuationSeparator" w:id="0">
    <w:p w:rsidR="00F26357" w:rsidRDefault="00F26357" w:rsidP="00B27B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170" w:rsidRDefault="00C06170">
    <w:pPr>
      <w:pStyle w:val="Header"/>
    </w:pPr>
    <w:r w:rsidRPr="00B27BD0">
      <w:rPr>
        <w:noProof/>
      </w:rPr>
      <w:drawing>
        <wp:anchor distT="0" distB="0" distL="114300" distR="114300" simplePos="0" relativeHeight="251677696" behindDoc="1" locked="1" layoutInCell="1" allowOverlap="1" wp14:anchorId="19FA3514" wp14:editId="2ED2F6D1">
          <wp:simplePos x="0" y="0"/>
          <wp:positionH relativeFrom="leftMargin">
            <wp:posOffset>4445</wp:posOffset>
          </wp:positionH>
          <wp:positionV relativeFrom="topMargin">
            <wp:posOffset>49530</wp:posOffset>
          </wp:positionV>
          <wp:extent cx="274320" cy="1008570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boxes.eps"/>
                  <pic:cNvPicPr/>
                </pic:nvPicPr>
                <pic:blipFill>
                  <a:blip r:embed="rId1">
                    <a:extLst>
                      <a:ext uri="{28A0092B-C50C-407E-A947-70E740481C1C}">
                        <a14:useLocalDpi xmlns:a14="http://schemas.microsoft.com/office/drawing/2010/main" val="0"/>
                      </a:ext>
                    </a:extLst>
                  </a:blip>
                  <a:stretch>
                    <a:fillRect/>
                  </a:stretch>
                </pic:blipFill>
                <pic:spPr>
                  <a:xfrm>
                    <a:off x="0" y="0"/>
                    <a:ext cx="274320" cy="1008570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170" w:rsidRDefault="0026514A">
    <w:pPr>
      <w:pStyle w:val="Header"/>
    </w:pPr>
    <w:r>
      <w:rPr>
        <w:noProof/>
      </w:rPr>
      <w:drawing>
        <wp:anchor distT="0" distB="0" distL="114300" distR="114300" simplePos="0" relativeHeight="251685888" behindDoc="0" locked="0" layoutInCell="1" allowOverlap="1" wp14:anchorId="573096D0" wp14:editId="7E16A08C">
          <wp:simplePos x="0" y="0"/>
          <wp:positionH relativeFrom="column">
            <wp:posOffset>1692910</wp:posOffset>
          </wp:positionH>
          <wp:positionV relativeFrom="paragraph">
            <wp:posOffset>-64770</wp:posOffset>
          </wp:positionV>
          <wp:extent cx="2277745" cy="856615"/>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 Long RGB 5x1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77745" cy="856615"/>
                  </a:xfrm>
                  <a:prstGeom prst="rect">
                    <a:avLst/>
                  </a:prstGeom>
                </pic:spPr>
              </pic:pic>
            </a:graphicData>
          </a:graphic>
          <wp14:sizeRelH relativeFrom="page">
            <wp14:pctWidth>0</wp14:pctWidth>
          </wp14:sizeRelH>
          <wp14:sizeRelV relativeFrom="page">
            <wp14:pctHeight>0</wp14:pctHeight>
          </wp14:sizeRelV>
        </wp:anchor>
      </w:drawing>
    </w:r>
    <w:r w:rsidR="00C06170" w:rsidRPr="00B27BD0">
      <w:rPr>
        <w:noProof/>
      </w:rPr>
      <w:drawing>
        <wp:anchor distT="0" distB="0" distL="114300" distR="114300" simplePos="0" relativeHeight="251653120" behindDoc="1" locked="1" layoutInCell="1" allowOverlap="1" wp14:anchorId="7074B292" wp14:editId="47F38087">
          <wp:simplePos x="0" y="0"/>
          <wp:positionH relativeFrom="leftMargin">
            <wp:posOffset>-3810</wp:posOffset>
          </wp:positionH>
          <wp:positionV relativeFrom="topMargin">
            <wp:posOffset>44450</wp:posOffset>
          </wp:positionV>
          <wp:extent cx="274320" cy="1008570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boxes.eps"/>
                  <pic:cNvPicPr/>
                </pic:nvPicPr>
                <pic:blipFill>
                  <a:blip r:embed="rId2">
                    <a:lum bright="-20000"/>
                    <a:extLst>
                      <a:ext uri="{28A0092B-C50C-407E-A947-70E740481C1C}">
                        <a14:useLocalDpi xmlns:a14="http://schemas.microsoft.com/office/drawing/2010/main" val="0"/>
                      </a:ext>
                    </a:extLst>
                  </a:blip>
                  <a:stretch>
                    <a:fillRect/>
                  </a:stretch>
                </pic:blipFill>
                <pic:spPr>
                  <a:xfrm>
                    <a:off x="0" y="0"/>
                    <a:ext cx="274320" cy="10085705"/>
                  </a:xfrm>
                  <a:prstGeom prst="rect">
                    <a:avLst/>
                  </a:prstGeom>
                </pic:spPr>
              </pic:pic>
            </a:graphicData>
          </a:graphic>
          <wp14:sizeRelH relativeFrom="page">
            <wp14:pctWidth>0</wp14:pctWidth>
          </wp14:sizeRelH>
          <wp14:sizeRelV relativeFrom="page">
            <wp14:pctHeight>0</wp14:pctHeight>
          </wp14:sizeRelV>
        </wp:anchor>
      </w:drawing>
    </w:r>
    <w:r w:rsidR="00C06170" w:rsidRPr="00B27BD0">
      <w:rPr>
        <w:noProof/>
      </w:rPr>
      <mc:AlternateContent>
        <mc:Choice Requires="wps">
          <w:drawing>
            <wp:anchor distT="0" distB="0" distL="114300" distR="114300" simplePos="0" relativeHeight="251661312" behindDoc="0" locked="1" layoutInCell="1" allowOverlap="1" wp14:anchorId="63968DB0" wp14:editId="21C68031">
              <wp:simplePos x="0" y="0"/>
              <wp:positionH relativeFrom="leftMargin">
                <wp:posOffset>-3810</wp:posOffset>
              </wp:positionH>
              <wp:positionV relativeFrom="topMargin">
                <wp:posOffset>1252855</wp:posOffset>
              </wp:positionV>
              <wp:extent cx="7772400" cy="118745"/>
              <wp:effectExtent l="0" t="0" r="0" b="0"/>
              <wp:wrapNone/>
              <wp:docPr id="6" name="Rectangle 6"/>
              <wp:cNvGraphicFramePr/>
              <a:graphic xmlns:a="http://schemas.openxmlformats.org/drawingml/2006/main">
                <a:graphicData uri="http://schemas.microsoft.com/office/word/2010/wordprocessingShape">
                  <wps:wsp>
                    <wps:cNvSpPr/>
                    <wps:spPr>
                      <a:xfrm>
                        <a:off x="0" y="0"/>
                        <a:ext cx="7772400" cy="118745"/>
                      </a:xfrm>
                      <a:prstGeom prst="rect">
                        <a:avLst/>
                      </a:prstGeom>
                      <a:solidFill>
                        <a:srgbClr val="A80C35"/>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114D4" id="Rectangle 6" o:spid="_x0000_s1026" style="position:absolute;margin-left:-.3pt;margin-top:98.65pt;width:612pt;height:9.35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" fillcolor="#a80c35" stroked="f" strokeweight="2pt">
              <w10:wrap anchorx="margin" anchory="margin"/>
              <w10:anchorlock/>
            </v:rect>
          </w:pict>
        </mc:Fallback>
      </mc:AlternateContent>
    </w:r>
    <w:r w:rsidR="00C06170" w:rsidRPr="00B27BD0">
      <w:rPr>
        <w:noProof/>
      </w:rPr>
      <mc:AlternateContent>
        <mc:Choice Requires="wps">
          <w:drawing>
            <wp:anchor distT="0" distB="0" distL="114300" distR="114300" simplePos="0" relativeHeight="251669504" behindDoc="0" locked="1" layoutInCell="1" allowOverlap="1" wp14:anchorId="23023825" wp14:editId="2730B664">
              <wp:simplePos x="0" y="0"/>
              <wp:positionH relativeFrom="leftMargin">
                <wp:posOffset>649605</wp:posOffset>
              </wp:positionH>
              <wp:positionV relativeFrom="page">
                <wp:posOffset>1414145</wp:posOffset>
              </wp:positionV>
              <wp:extent cx="6457950" cy="185420"/>
              <wp:effectExtent l="0" t="0" r="0" b="5080"/>
              <wp:wrapNone/>
              <wp:docPr id="7" name="Text Box 7"/>
              <wp:cNvGraphicFramePr/>
              <a:graphic xmlns:a="http://schemas.openxmlformats.org/drawingml/2006/main">
                <a:graphicData uri="http://schemas.microsoft.com/office/word/2010/wordprocessingShape">
                  <wps:wsp>
                    <wps:cNvSpPr txBox="1"/>
                    <wps:spPr>
                      <a:xfrm>
                        <a:off x="0" y="0"/>
                        <a:ext cx="6457950" cy="185420"/>
                      </a:xfrm>
                      <a:prstGeom prst="rect">
                        <a:avLst/>
                      </a:prstGeom>
                      <a:noFill/>
                      <a:ln w="6350">
                        <a:noFill/>
                      </a:ln>
                      <a:effectLst/>
                    </wps:spPr>
                    <wps:txbx>
                      <w:txbxContent>
                        <w:p w:rsidR="00C06170" w:rsidRPr="00A1106B" w:rsidRDefault="00B6109A" w:rsidP="00D555A8">
                          <w:pPr>
                            <w:jc w:val="center"/>
                            <w:rPr>
                              <w:rFonts w:ascii="Franklin Gothic Book" w:hAnsi="Franklin Gothic Book"/>
                            </w:rPr>
                          </w:pPr>
                          <w:r>
                            <w:rPr>
                              <w:rFonts w:ascii="Franklin Gothic Book" w:hAnsi="Franklin Gothic Book"/>
                            </w:rPr>
                            <w:t>Wichita, Kansas</w:t>
                          </w:r>
                          <w:r w:rsidR="002D0452">
                            <w:rPr>
                              <w:rFonts w:ascii="Franklin Gothic Book" w:hAnsi="Franklin Gothic Book"/>
                            </w:rPr>
                            <w:t xml:space="preserve"> </w:t>
                          </w:r>
                          <w:r w:rsidRPr="00A1106B">
                            <w:rPr>
                              <w:rFonts w:ascii="Franklin Gothic Book" w:hAnsi="Franklin Gothic Book"/>
                            </w:rPr>
                            <w:t xml:space="preserve"> </w:t>
                          </w:r>
                          <w:r w:rsidR="0026514A">
                            <w:rPr>
                              <w:rFonts w:ascii="Franklin Gothic Book" w:hAnsi="Franklin Gothic Book"/>
                            </w:rPr>
                            <w:sym w:font="Wingdings" w:char="F0A7"/>
                          </w:r>
                          <w:r w:rsidRPr="00A1106B">
                            <w:rPr>
                              <w:rFonts w:ascii="Franklin Gothic Book" w:hAnsi="Franklin Gothic Book"/>
                            </w:rPr>
                            <w:t xml:space="preserve"> </w:t>
                          </w:r>
                          <w:r>
                            <w:rPr>
                              <w:rFonts w:ascii="Franklin Gothic Book" w:hAnsi="Franklin Gothic Book"/>
                            </w:rPr>
                            <w:t xml:space="preserve"> Atlanta, Georgia  </w:t>
                          </w:r>
                          <w:r w:rsidR="0026514A">
                            <w:rPr>
                              <w:rFonts w:ascii="Franklin Gothic Book" w:hAnsi="Franklin Gothic Book"/>
                            </w:rPr>
                            <w:sym w:font="Wingdings" w:char="F0A7"/>
                          </w:r>
                          <w:r w:rsidR="00526BB9" w:rsidRPr="00A1106B">
                            <w:rPr>
                              <w:rFonts w:ascii="Franklin Gothic Book" w:hAnsi="Franklin Gothic Book"/>
                            </w:rPr>
                            <w:t xml:space="preserve"> </w:t>
                          </w:r>
                          <w:r w:rsidR="00526BB9">
                            <w:rPr>
                              <w:rFonts w:ascii="Franklin Gothic Book" w:hAnsi="Franklin Gothic Book"/>
                            </w:rPr>
                            <w:t xml:space="preserve"> </w:t>
                          </w:r>
                          <w:r>
                            <w:rPr>
                              <w:rFonts w:ascii="Franklin Gothic Book" w:hAnsi="Franklin Gothic Book"/>
                            </w:rPr>
                            <w:t xml:space="preserve">Tulsa, Oklahoma  </w:t>
                          </w:r>
                          <w:r w:rsidR="0026514A">
                            <w:rPr>
                              <w:rFonts w:ascii="Franklin Gothic Book" w:hAnsi="Franklin Gothic Book"/>
                            </w:rPr>
                            <w:sym w:font="Wingdings" w:char="F0A7"/>
                          </w:r>
                          <w:r w:rsidR="00526BB9" w:rsidRPr="00A1106B">
                            <w:rPr>
                              <w:rFonts w:ascii="Franklin Gothic Book" w:hAnsi="Franklin Gothic Book"/>
                            </w:rPr>
                            <w:t xml:space="preserve"> </w:t>
                          </w:r>
                          <w:r w:rsidR="00526BB9">
                            <w:rPr>
                              <w:rFonts w:ascii="Franklin Gothic Book" w:hAnsi="Franklin Gothic Book"/>
                            </w:rPr>
                            <w:t xml:space="preserve"> </w:t>
                          </w:r>
                          <w:r w:rsidR="00526BB9" w:rsidRPr="00A1106B">
                            <w:rPr>
                              <w:rFonts w:ascii="Franklin Gothic Book" w:hAnsi="Franklin Gothic Book"/>
                            </w:rPr>
                            <w:t>Phone: (</w:t>
                          </w:r>
                          <w:r>
                            <w:rPr>
                              <w:rFonts w:ascii="Franklin Gothic Book" w:hAnsi="Franklin Gothic Book"/>
                            </w:rPr>
                            <w:t>888</w:t>
                          </w:r>
                          <w:r w:rsidR="00526BB9" w:rsidRPr="00A1106B">
                            <w:rPr>
                              <w:rFonts w:ascii="Franklin Gothic Book" w:hAnsi="Franklin Gothic Book"/>
                            </w:rPr>
                            <w:t xml:space="preserve">) </w:t>
                          </w:r>
                          <w:r w:rsidR="003E2A36">
                            <w:rPr>
                              <w:rFonts w:ascii="Franklin Gothic Book" w:hAnsi="Franklin Gothic Book"/>
                            </w:rPr>
                            <w:t>26</w:t>
                          </w:r>
                          <w:r>
                            <w:rPr>
                              <w:rFonts w:ascii="Franklin Gothic Book" w:hAnsi="Franklin Gothic Book"/>
                            </w:rPr>
                            <w:t>4</w:t>
                          </w:r>
                          <w:r w:rsidR="003E2A36">
                            <w:rPr>
                              <w:rFonts w:ascii="Franklin Gothic Book" w:hAnsi="Franklin Gothic Book"/>
                            </w:rPr>
                            <w:t>-</w:t>
                          </w:r>
                          <w:r>
                            <w:rPr>
                              <w:rFonts w:ascii="Franklin Gothic Book" w:hAnsi="Franklin Gothic Book"/>
                            </w:rPr>
                            <w:t>705</w:t>
                          </w:r>
                          <w:r w:rsidR="003E2A36">
                            <w:rPr>
                              <w:rFonts w:ascii="Franklin Gothic Book" w:hAnsi="Franklin Gothic Book"/>
                            </w:rPr>
                            <w:t>0</w:t>
                          </w:r>
                          <w:r w:rsidR="00526BB9">
                            <w:rPr>
                              <w:rFonts w:ascii="Franklin Gothic Book" w:hAnsi="Franklin Gothic Book"/>
                            </w:rPr>
                            <w:t xml:space="preserve">  </w:t>
                          </w:r>
                          <w:r w:rsidR="0026514A">
                            <w:rPr>
                              <w:rFonts w:ascii="Franklin Gothic Book" w:hAnsi="Franklin Gothic Book"/>
                            </w:rPr>
                            <w:sym w:font="Wingdings" w:char="F0A7"/>
                          </w:r>
                          <w:r w:rsidR="00526BB9">
                            <w:rPr>
                              <w:rFonts w:ascii="Franklin Gothic Book" w:hAnsi="Franklin Gothic Book"/>
                            </w:rPr>
                            <w:t xml:space="preserve">  www.iSiEnvironmental</w:t>
                          </w:r>
                          <w:r w:rsidR="00526BB9" w:rsidRPr="00A1106B">
                            <w:rPr>
                              <w:rFonts w:ascii="Franklin Gothic Book" w:hAnsi="Franklin Gothic Book"/>
                            </w:rPr>
                            <w:t>.com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023825" id="_x0000_t202" coordsize="21600,21600" o:spt="202" path="m,l,21600r21600,l21600,xe">
              <v:stroke joinstyle="miter"/>
              <v:path gradientshapeok="t" o:connecttype="rect"/>
            </v:shapetype>
            <v:shape id="Text Box 7" o:spid="_x0000_s1026" type="#_x0000_t202" style="position:absolute;margin-left:51.15pt;margin-top:111.35pt;width:508.5pt;height:14.6pt;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" filled="f" stroked="f" strokeweight=".5pt">
              <v:textbox inset="0,0,0,0">
                <w:txbxContent>
                  <w:p w:rsidR="00C06170" w:rsidRPr="00A1106B" w:rsidRDefault="00B6109A" w:rsidP="00D555A8">
                    <w:pPr>
                      <w:jc w:val="center"/>
                      <w:rPr>
                        <w:rFonts w:ascii="Franklin Gothic Book" w:hAnsi="Franklin Gothic Book"/>
                      </w:rPr>
                    </w:pPr>
                    <w:r>
                      <w:rPr>
                        <w:rFonts w:ascii="Franklin Gothic Book" w:hAnsi="Franklin Gothic Book"/>
                      </w:rPr>
                      <w:t>Wichita, Kansas</w:t>
                    </w:r>
                    <w:r w:rsidR="002D0452">
                      <w:rPr>
                        <w:rFonts w:ascii="Franklin Gothic Book" w:hAnsi="Franklin Gothic Book"/>
                      </w:rPr>
                      <w:t xml:space="preserve"> </w:t>
                    </w:r>
                    <w:r w:rsidRPr="00A1106B">
                      <w:rPr>
                        <w:rFonts w:ascii="Franklin Gothic Book" w:hAnsi="Franklin Gothic Book"/>
                      </w:rPr>
                      <w:t xml:space="preserve"> </w:t>
                    </w:r>
                    <w:r w:rsidR="0026514A">
                      <w:rPr>
                        <w:rFonts w:ascii="Franklin Gothic Book" w:hAnsi="Franklin Gothic Book"/>
                      </w:rPr>
                      <w:sym w:font="Wingdings" w:char="F0A7"/>
                    </w:r>
                    <w:r w:rsidRPr="00A1106B">
                      <w:rPr>
                        <w:rFonts w:ascii="Franklin Gothic Book" w:hAnsi="Franklin Gothic Book"/>
                      </w:rPr>
                      <w:t xml:space="preserve"> </w:t>
                    </w:r>
                    <w:r>
                      <w:rPr>
                        <w:rFonts w:ascii="Franklin Gothic Book" w:hAnsi="Franklin Gothic Book"/>
                      </w:rPr>
                      <w:t xml:space="preserve"> Atlanta, Georgia  </w:t>
                    </w:r>
                    <w:r w:rsidR="0026514A">
                      <w:rPr>
                        <w:rFonts w:ascii="Franklin Gothic Book" w:hAnsi="Franklin Gothic Book"/>
                      </w:rPr>
                      <w:sym w:font="Wingdings" w:char="F0A7"/>
                    </w:r>
                    <w:r w:rsidR="00526BB9" w:rsidRPr="00A1106B">
                      <w:rPr>
                        <w:rFonts w:ascii="Franklin Gothic Book" w:hAnsi="Franklin Gothic Book"/>
                      </w:rPr>
                      <w:t xml:space="preserve"> </w:t>
                    </w:r>
                    <w:r w:rsidR="00526BB9">
                      <w:rPr>
                        <w:rFonts w:ascii="Franklin Gothic Book" w:hAnsi="Franklin Gothic Book"/>
                      </w:rPr>
                      <w:t xml:space="preserve"> </w:t>
                    </w:r>
                    <w:r>
                      <w:rPr>
                        <w:rFonts w:ascii="Franklin Gothic Book" w:hAnsi="Franklin Gothic Book"/>
                      </w:rPr>
                      <w:t xml:space="preserve">Tulsa, Oklahoma  </w:t>
                    </w:r>
                    <w:r w:rsidR="0026514A">
                      <w:rPr>
                        <w:rFonts w:ascii="Franklin Gothic Book" w:hAnsi="Franklin Gothic Book"/>
                      </w:rPr>
                      <w:sym w:font="Wingdings" w:char="F0A7"/>
                    </w:r>
                    <w:r w:rsidR="00526BB9" w:rsidRPr="00A1106B">
                      <w:rPr>
                        <w:rFonts w:ascii="Franklin Gothic Book" w:hAnsi="Franklin Gothic Book"/>
                      </w:rPr>
                      <w:t xml:space="preserve"> </w:t>
                    </w:r>
                    <w:r w:rsidR="00526BB9">
                      <w:rPr>
                        <w:rFonts w:ascii="Franklin Gothic Book" w:hAnsi="Franklin Gothic Book"/>
                      </w:rPr>
                      <w:t xml:space="preserve"> </w:t>
                    </w:r>
                    <w:r w:rsidR="00526BB9" w:rsidRPr="00A1106B">
                      <w:rPr>
                        <w:rFonts w:ascii="Franklin Gothic Book" w:hAnsi="Franklin Gothic Book"/>
                      </w:rPr>
                      <w:t>Phone: (</w:t>
                    </w:r>
                    <w:r>
                      <w:rPr>
                        <w:rFonts w:ascii="Franklin Gothic Book" w:hAnsi="Franklin Gothic Book"/>
                      </w:rPr>
                      <w:t>888</w:t>
                    </w:r>
                    <w:r w:rsidR="00526BB9" w:rsidRPr="00A1106B">
                      <w:rPr>
                        <w:rFonts w:ascii="Franklin Gothic Book" w:hAnsi="Franklin Gothic Book"/>
                      </w:rPr>
                      <w:t xml:space="preserve">) </w:t>
                    </w:r>
                    <w:r w:rsidR="003E2A36">
                      <w:rPr>
                        <w:rFonts w:ascii="Franklin Gothic Book" w:hAnsi="Franklin Gothic Book"/>
                      </w:rPr>
                      <w:t>26</w:t>
                    </w:r>
                    <w:r>
                      <w:rPr>
                        <w:rFonts w:ascii="Franklin Gothic Book" w:hAnsi="Franklin Gothic Book"/>
                      </w:rPr>
                      <w:t>4</w:t>
                    </w:r>
                    <w:r w:rsidR="003E2A36">
                      <w:rPr>
                        <w:rFonts w:ascii="Franklin Gothic Book" w:hAnsi="Franklin Gothic Book"/>
                      </w:rPr>
                      <w:t>-</w:t>
                    </w:r>
                    <w:r>
                      <w:rPr>
                        <w:rFonts w:ascii="Franklin Gothic Book" w:hAnsi="Franklin Gothic Book"/>
                      </w:rPr>
                      <w:t>705</w:t>
                    </w:r>
                    <w:r w:rsidR="003E2A36">
                      <w:rPr>
                        <w:rFonts w:ascii="Franklin Gothic Book" w:hAnsi="Franklin Gothic Book"/>
                      </w:rPr>
                      <w:t>0</w:t>
                    </w:r>
                    <w:r w:rsidR="00526BB9">
                      <w:rPr>
                        <w:rFonts w:ascii="Franklin Gothic Book" w:hAnsi="Franklin Gothic Book"/>
                      </w:rPr>
                      <w:t xml:space="preserve">  </w:t>
                    </w:r>
                    <w:r w:rsidR="0026514A">
                      <w:rPr>
                        <w:rFonts w:ascii="Franklin Gothic Book" w:hAnsi="Franklin Gothic Book"/>
                      </w:rPr>
                      <w:sym w:font="Wingdings" w:char="F0A7"/>
                    </w:r>
                    <w:r w:rsidR="00526BB9">
                      <w:rPr>
                        <w:rFonts w:ascii="Franklin Gothic Book" w:hAnsi="Franklin Gothic Book"/>
                      </w:rPr>
                      <w:t xml:space="preserve">  www.iSiEnvironmental</w:t>
                    </w:r>
                    <w:r w:rsidR="00526BB9" w:rsidRPr="00A1106B">
                      <w:rPr>
                        <w:rFonts w:ascii="Franklin Gothic Book" w:hAnsi="Franklin Gothic Book"/>
                      </w:rPr>
                      <w:t>.com</w:t>
                    </w:r>
                  </w:p>
                </w:txbxContent>
              </v:textbox>
              <w10:wrap anchorx="margin" anchory="page"/>
              <w10:anchorlock/>
            </v:shape>
          </w:pict>
        </mc:Fallback>
      </mc:AlternateContent>
    </w:r>
    <w:r w:rsidR="00C06170">
      <w:rPr>
        <w:noProof/>
      </w:rPr>
      <mc:AlternateContent>
        <mc:Choice Requires="wps">
          <w:drawing>
            <wp:anchor distT="0" distB="0" distL="114300" distR="114300" simplePos="0" relativeHeight="251644928" behindDoc="0" locked="1" layoutInCell="1" allowOverlap="1" wp14:anchorId="12D1D0BB" wp14:editId="16414478">
              <wp:simplePos x="0" y="0"/>
              <wp:positionH relativeFrom="page">
                <wp:posOffset>0</wp:posOffset>
              </wp:positionH>
              <wp:positionV relativeFrom="page">
                <wp:posOffset>0</wp:posOffset>
              </wp:positionV>
              <wp:extent cx="7772400" cy="1828800"/>
              <wp:effectExtent l="0" t="0" r="0" b="0"/>
              <wp:wrapSquare wrapText="bothSides"/>
              <wp:docPr id="4" name="Rectangle 4"/>
              <wp:cNvGraphicFramePr/>
              <a:graphic xmlns:a="http://schemas.openxmlformats.org/drawingml/2006/main">
                <a:graphicData uri="http://schemas.microsoft.com/office/word/2010/wordprocessingShape">
                  <wps:wsp>
                    <wps:cNvSpPr/>
                    <wps:spPr>
                      <a:xfrm>
                        <a:off x="0" y="0"/>
                        <a:ext cx="7772400" cy="1828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59F18" id="Rectangle 4" o:spid="_x0000_s1026" style="position:absolute;margin-left:0;margin-top:0;width:612pt;height:2in;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" filled="f" stroked="f" strokeweight="2pt">
              <w10:wrap type="square" anchorx="page" anchory="page"/>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7CE7"/>
    <w:multiLevelType w:val="hybridMultilevel"/>
    <w:tmpl w:val="1E167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340118"/>
    <w:multiLevelType w:val="hybridMultilevel"/>
    <w:tmpl w:val="652EF9E2"/>
    <w:lvl w:ilvl="0" w:tplc="04090001">
      <w:start w:val="1"/>
      <w:numFmt w:val="bullet"/>
      <w:lvlText w:val=""/>
      <w:lvlJc w:val="left"/>
      <w:pPr>
        <w:ind w:left="-17352" w:hanging="360"/>
      </w:pPr>
      <w:rPr>
        <w:rFonts w:ascii="Symbol" w:hAnsi="Symbol" w:hint="default"/>
      </w:rPr>
    </w:lvl>
    <w:lvl w:ilvl="1" w:tplc="04090003" w:tentative="1">
      <w:start w:val="1"/>
      <w:numFmt w:val="bullet"/>
      <w:lvlText w:val="o"/>
      <w:lvlJc w:val="left"/>
      <w:pPr>
        <w:ind w:left="-16632" w:hanging="360"/>
      </w:pPr>
      <w:rPr>
        <w:rFonts w:ascii="Courier New" w:hAnsi="Courier New" w:cs="Courier New" w:hint="default"/>
      </w:rPr>
    </w:lvl>
    <w:lvl w:ilvl="2" w:tplc="04090005" w:tentative="1">
      <w:start w:val="1"/>
      <w:numFmt w:val="bullet"/>
      <w:lvlText w:val=""/>
      <w:lvlJc w:val="left"/>
      <w:pPr>
        <w:ind w:left="-15912" w:hanging="360"/>
      </w:pPr>
      <w:rPr>
        <w:rFonts w:ascii="Wingdings" w:hAnsi="Wingdings" w:hint="default"/>
      </w:rPr>
    </w:lvl>
    <w:lvl w:ilvl="3" w:tplc="04090001" w:tentative="1">
      <w:start w:val="1"/>
      <w:numFmt w:val="bullet"/>
      <w:lvlText w:val=""/>
      <w:lvlJc w:val="left"/>
      <w:pPr>
        <w:ind w:left="-15192" w:hanging="360"/>
      </w:pPr>
      <w:rPr>
        <w:rFonts w:ascii="Symbol" w:hAnsi="Symbol" w:hint="default"/>
      </w:rPr>
    </w:lvl>
    <w:lvl w:ilvl="4" w:tplc="04090003" w:tentative="1">
      <w:start w:val="1"/>
      <w:numFmt w:val="bullet"/>
      <w:lvlText w:val="o"/>
      <w:lvlJc w:val="left"/>
      <w:pPr>
        <w:ind w:left="-14472" w:hanging="360"/>
      </w:pPr>
      <w:rPr>
        <w:rFonts w:ascii="Courier New" w:hAnsi="Courier New" w:cs="Courier New" w:hint="default"/>
      </w:rPr>
    </w:lvl>
    <w:lvl w:ilvl="5" w:tplc="04090005" w:tentative="1">
      <w:start w:val="1"/>
      <w:numFmt w:val="bullet"/>
      <w:lvlText w:val=""/>
      <w:lvlJc w:val="left"/>
      <w:pPr>
        <w:ind w:left="-13752" w:hanging="360"/>
      </w:pPr>
      <w:rPr>
        <w:rFonts w:ascii="Wingdings" w:hAnsi="Wingdings" w:hint="default"/>
      </w:rPr>
    </w:lvl>
    <w:lvl w:ilvl="6" w:tplc="04090001" w:tentative="1">
      <w:start w:val="1"/>
      <w:numFmt w:val="bullet"/>
      <w:lvlText w:val=""/>
      <w:lvlJc w:val="left"/>
      <w:pPr>
        <w:ind w:left="-13032" w:hanging="360"/>
      </w:pPr>
      <w:rPr>
        <w:rFonts w:ascii="Symbol" w:hAnsi="Symbol" w:hint="default"/>
      </w:rPr>
    </w:lvl>
    <w:lvl w:ilvl="7" w:tplc="04090003" w:tentative="1">
      <w:start w:val="1"/>
      <w:numFmt w:val="bullet"/>
      <w:lvlText w:val="o"/>
      <w:lvlJc w:val="left"/>
      <w:pPr>
        <w:ind w:left="-12312" w:hanging="360"/>
      </w:pPr>
      <w:rPr>
        <w:rFonts w:ascii="Courier New" w:hAnsi="Courier New" w:cs="Courier New" w:hint="default"/>
      </w:rPr>
    </w:lvl>
    <w:lvl w:ilvl="8" w:tplc="04090005" w:tentative="1">
      <w:start w:val="1"/>
      <w:numFmt w:val="bullet"/>
      <w:lvlText w:val=""/>
      <w:lvlJc w:val="left"/>
      <w:pPr>
        <w:ind w:left="-11592" w:hanging="360"/>
      </w:pPr>
      <w:rPr>
        <w:rFonts w:ascii="Wingdings" w:hAnsi="Wingdings" w:hint="default"/>
      </w:rPr>
    </w:lvl>
  </w:abstractNum>
  <w:abstractNum w:abstractNumId="2" w15:restartNumberingAfterBreak="0">
    <w:nsid w:val="092B69B9"/>
    <w:multiLevelType w:val="hybridMultilevel"/>
    <w:tmpl w:val="352C2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343E4"/>
    <w:multiLevelType w:val="multilevel"/>
    <w:tmpl w:val="46DA7392"/>
    <w:lvl w:ilvl="0">
      <w:start w:val="3"/>
      <w:numFmt w:val="decimal"/>
      <w:lvlText w:val="%1."/>
      <w:lvlJc w:val="left"/>
      <w:pPr>
        <w:ind w:left="0" w:firstLine="0"/>
      </w:pPr>
      <w:rPr>
        <w:rFonts w:hint="default"/>
      </w:rPr>
    </w:lvl>
    <w:lvl w:ilvl="1">
      <w:start w:val="1"/>
      <w:numFmt w:val="lowerLetter"/>
      <w:lvlText w:val="(%2)"/>
      <w:lvlJc w:val="left"/>
      <w:pPr>
        <w:ind w:left="0" w:firstLine="720"/>
      </w:pPr>
      <w:rPr>
        <w:rFonts w:hint="default"/>
      </w:rPr>
    </w:lvl>
    <w:lvl w:ilvl="2">
      <w:start w:val="1"/>
      <w:numFmt w:val="lowerRoman"/>
      <w:lvlText w:val="(%3)"/>
      <w:lvlJc w:val="left"/>
      <w:pPr>
        <w:ind w:left="1440" w:hanging="7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E8A0991"/>
    <w:multiLevelType w:val="multilevel"/>
    <w:tmpl w:val="46DA7392"/>
    <w:lvl w:ilvl="0">
      <w:start w:val="3"/>
      <w:numFmt w:val="decimal"/>
      <w:lvlText w:val="%1."/>
      <w:lvlJc w:val="left"/>
      <w:pPr>
        <w:ind w:left="0" w:firstLine="0"/>
      </w:pPr>
      <w:rPr>
        <w:rFonts w:hint="default"/>
      </w:rPr>
    </w:lvl>
    <w:lvl w:ilvl="1">
      <w:start w:val="1"/>
      <w:numFmt w:val="lowerLetter"/>
      <w:lvlText w:val="(%2)"/>
      <w:lvlJc w:val="left"/>
      <w:pPr>
        <w:ind w:left="0" w:firstLine="720"/>
      </w:pPr>
      <w:rPr>
        <w:rFonts w:hint="default"/>
      </w:rPr>
    </w:lvl>
    <w:lvl w:ilvl="2">
      <w:start w:val="1"/>
      <w:numFmt w:val="lowerRoman"/>
      <w:lvlText w:val="(%3)"/>
      <w:lvlJc w:val="left"/>
      <w:pPr>
        <w:ind w:left="1440" w:hanging="7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D2735C1"/>
    <w:multiLevelType w:val="hybridMultilevel"/>
    <w:tmpl w:val="F0A458CA"/>
    <w:lvl w:ilvl="0" w:tplc="AC420AB4">
      <w:start w:val="1"/>
      <w:numFmt w:val="bullet"/>
      <w:lvlText w:val=""/>
      <w:lvlJc w:val="left"/>
      <w:pPr>
        <w:tabs>
          <w:tab w:val="num" w:pos="720"/>
        </w:tabs>
        <w:ind w:left="720" w:hanging="432"/>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0D40ED"/>
    <w:multiLevelType w:val="multilevel"/>
    <w:tmpl w:val="46DA7392"/>
    <w:lvl w:ilvl="0">
      <w:start w:val="3"/>
      <w:numFmt w:val="decimal"/>
      <w:lvlText w:val="%1."/>
      <w:lvlJc w:val="left"/>
      <w:pPr>
        <w:ind w:left="0" w:firstLine="0"/>
      </w:pPr>
      <w:rPr>
        <w:rFonts w:hint="default"/>
      </w:rPr>
    </w:lvl>
    <w:lvl w:ilvl="1">
      <w:start w:val="1"/>
      <w:numFmt w:val="lowerLetter"/>
      <w:lvlText w:val="(%2)"/>
      <w:lvlJc w:val="left"/>
      <w:pPr>
        <w:ind w:left="0" w:firstLine="720"/>
      </w:pPr>
      <w:rPr>
        <w:rFonts w:hint="default"/>
      </w:rPr>
    </w:lvl>
    <w:lvl w:ilvl="2">
      <w:start w:val="1"/>
      <w:numFmt w:val="lowerRoman"/>
      <w:lvlText w:val="(%3)"/>
      <w:lvlJc w:val="left"/>
      <w:pPr>
        <w:ind w:left="1440" w:hanging="7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4E334950"/>
    <w:multiLevelType w:val="hybridMultilevel"/>
    <w:tmpl w:val="663A4508"/>
    <w:lvl w:ilvl="0" w:tplc="04090001">
      <w:start w:val="1"/>
      <w:numFmt w:val="bullet"/>
      <w:lvlText w:val=""/>
      <w:lvlJc w:val="left"/>
      <w:pPr>
        <w:ind w:left="-17352" w:hanging="360"/>
      </w:pPr>
      <w:rPr>
        <w:rFonts w:ascii="Symbol" w:hAnsi="Symbol" w:hint="default"/>
      </w:rPr>
    </w:lvl>
    <w:lvl w:ilvl="1" w:tplc="04090003" w:tentative="1">
      <w:start w:val="1"/>
      <w:numFmt w:val="bullet"/>
      <w:lvlText w:val="o"/>
      <w:lvlJc w:val="left"/>
      <w:pPr>
        <w:ind w:left="-16632" w:hanging="360"/>
      </w:pPr>
      <w:rPr>
        <w:rFonts w:ascii="Courier New" w:hAnsi="Courier New" w:cs="Courier New" w:hint="default"/>
      </w:rPr>
    </w:lvl>
    <w:lvl w:ilvl="2" w:tplc="04090005" w:tentative="1">
      <w:start w:val="1"/>
      <w:numFmt w:val="bullet"/>
      <w:lvlText w:val=""/>
      <w:lvlJc w:val="left"/>
      <w:pPr>
        <w:ind w:left="-15912" w:hanging="360"/>
      </w:pPr>
      <w:rPr>
        <w:rFonts w:ascii="Wingdings" w:hAnsi="Wingdings" w:hint="default"/>
      </w:rPr>
    </w:lvl>
    <w:lvl w:ilvl="3" w:tplc="04090001" w:tentative="1">
      <w:start w:val="1"/>
      <w:numFmt w:val="bullet"/>
      <w:lvlText w:val=""/>
      <w:lvlJc w:val="left"/>
      <w:pPr>
        <w:ind w:left="-15192" w:hanging="360"/>
      </w:pPr>
      <w:rPr>
        <w:rFonts w:ascii="Symbol" w:hAnsi="Symbol" w:hint="default"/>
      </w:rPr>
    </w:lvl>
    <w:lvl w:ilvl="4" w:tplc="04090003" w:tentative="1">
      <w:start w:val="1"/>
      <w:numFmt w:val="bullet"/>
      <w:lvlText w:val="o"/>
      <w:lvlJc w:val="left"/>
      <w:pPr>
        <w:ind w:left="-14472" w:hanging="360"/>
      </w:pPr>
      <w:rPr>
        <w:rFonts w:ascii="Courier New" w:hAnsi="Courier New" w:cs="Courier New" w:hint="default"/>
      </w:rPr>
    </w:lvl>
    <w:lvl w:ilvl="5" w:tplc="04090005" w:tentative="1">
      <w:start w:val="1"/>
      <w:numFmt w:val="bullet"/>
      <w:lvlText w:val=""/>
      <w:lvlJc w:val="left"/>
      <w:pPr>
        <w:ind w:left="-13752" w:hanging="360"/>
      </w:pPr>
      <w:rPr>
        <w:rFonts w:ascii="Wingdings" w:hAnsi="Wingdings" w:hint="default"/>
      </w:rPr>
    </w:lvl>
    <w:lvl w:ilvl="6" w:tplc="04090001" w:tentative="1">
      <w:start w:val="1"/>
      <w:numFmt w:val="bullet"/>
      <w:lvlText w:val=""/>
      <w:lvlJc w:val="left"/>
      <w:pPr>
        <w:ind w:left="-13032" w:hanging="360"/>
      </w:pPr>
      <w:rPr>
        <w:rFonts w:ascii="Symbol" w:hAnsi="Symbol" w:hint="default"/>
      </w:rPr>
    </w:lvl>
    <w:lvl w:ilvl="7" w:tplc="04090003" w:tentative="1">
      <w:start w:val="1"/>
      <w:numFmt w:val="bullet"/>
      <w:lvlText w:val="o"/>
      <w:lvlJc w:val="left"/>
      <w:pPr>
        <w:ind w:left="-12312" w:hanging="360"/>
      </w:pPr>
      <w:rPr>
        <w:rFonts w:ascii="Courier New" w:hAnsi="Courier New" w:cs="Courier New" w:hint="default"/>
      </w:rPr>
    </w:lvl>
    <w:lvl w:ilvl="8" w:tplc="04090005" w:tentative="1">
      <w:start w:val="1"/>
      <w:numFmt w:val="bullet"/>
      <w:lvlText w:val=""/>
      <w:lvlJc w:val="left"/>
      <w:pPr>
        <w:ind w:left="-11592" w:hanging="360"/>
      </w:pPr>
      <w:rPr>
        <w:rFonts w:ascii="Wingdings" w:hAnsi="Wingdings" w:hint="default"/>
      </w:rPr>
    </w:lvl>
  </w:abstractNum>
  <w:abstractNum w:abstractNumId="8" w15:restartNumberingAfterBreak="0">
    <w:nsid w:val="51F7433F"/>
    <w:multiLevelType w:val="hybridMultilevel"/>
    <w:tmpl w:val="F59282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5944DAF"/>
    <w:multiLevelType w:val="hybridMultilevel"/>
    <w:tmpl w:val="E84082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0166CBA"/>
    <w:multiLevelType w:val="hybridMultilevel"/>
    <w:tmpl w:val="CC80C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3B30C76"/>
    <w:multiLevelType w:val="hybridMultilevel"/>
    <w:tmpl w:val="7F127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9F4B3F"/>
    <w:multiLevelType w:val="multilevel"/>
    <w:tmpl w:val="46DA7392"/>
    <w:lvl w:ilvl="0">
      <w:start w:val="3"/>
      <w:numFmt w:val="decimal"/>
      <w:lvlText w:val="%1."/>
      <w:lvlJc w:val="left"/>
      <w:pPr>
        <w:ind w:left="0" w:firstLine="0"/>
      </w:pPr>
      <w:rPr>
        <w:rFonts w:hint="default"/>
      </w:rPr>
    </w:lvl>
    <w:lvl w:ilvl="1">
      <w:start w:val="1"/>
      <w:numFmt w:val="lowerLetter"/>
      <w:lvlText w:val="(%2)"/>
      <w:lvlJc w:val="left"/>
      <w:pPr>
        <w:ind w:left="0" w:firstLine="720"/>
      </w:pPr>
      <w:rPr>
        <w:rFonts w:hint="default"/>
      </w:rPr>
    </w:lvl>
    <w:lvl w:ilvl="2">
      <w:start w:val="1"/>
      <w:numFmt w:val="lowerRoman"/>
      <w:lvlText w:val="(%3)"/>
      <w:lvlJc w:val="left"/>
      <w:pPr>
        <w:ind w:left="1440" w:hanging="7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68F01157"/>
    <w:multiLevelType w:val="hybridMultilevel"/>
    <w:tmpl w:val="E7240A12"/>
    <w:lvl w:ilvl="0" w:tplc="837489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60574B0"/>
    <w:multiLevelType w:val="multilevel"/>
    <w:tmpl w:val="46DA7392"/>
    <w:lvl w:ilvl="0">
      <w:start w:val="3"/>
      <w:numFmt w:val="decimal"/>
      <w:lvlText w:val="%1."/>
      <w:lvlJc w:val="left"/>
      <w:pPr>
        <w:ind w:left="0" w:firstLine="0"/>
      </w:pPr>
      <w:rPr>
        <w:rFonts w:hint="default"/>
      </w:rPr>
    </w:lvl>
    <w:lvl w:ilvl="1">
      <w:start w:val="1"/>
      <w:numFmt w:val="lowerLetter"/>
      <w:lvlText w:val="(%2)"/>
      <w:lvlJc w:val="left"/>
      <w:pPr>
        <w:ind w:left="0" w:firstLine="720"/>
      </w:pPr>
      <w:rPr>
        <w:rFonts w:hint="default"/>
      </w:rPr>
    </w:lvl>
    <w:lvl w:ilvl="2">
      <w:start w:val="1"/>
      <w:numFmt w:val="lowerRoman"/>
      <w:lvlText w:val="(%3)"/>
      <w:lvlJc w:val="left"/>
      <w:pPr>
        <w:ind w:left="1440" w:hanging="7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CF876CC"/>
    <w:multiLevelType w:val="hybridMultilevel"/>
    <w:tmpl w:val="66B6AF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E8D3EBB"/>
    <w:multiLevelType w:val="hybridMultilevel"/>
    <w:tmpl w:val="389AC8B8"/>
    <w:lvl w:ilvl="0" w:tplc="04090001">
      <w:start w:val="1"/>
      <w:numFmt w:val="bullet"/>
      <w:lvlText w:val=""/>
      <w:lvlJc w:val="left"/>
      <w:pPr>
        <w:ind w:left="-17352" w:hanging="360"/>
      </w:pPr>
      <w:rPr>
        <w:rFonts w:ascii="Symbol" w:hAnsi="Symbol" w:hint="default"/>
      </w:rPr>
    </w:lvl>
    <w:lvl w:ilvl="1" w:tplc="04090003">
      <w:start w:val="1"/>
      <w:numFmt w:val="bullet"/>
      <w:lvlText w:val="o"/>
      <w:lvlJc w:val="left"/>
      <w:pPr>
        <w:ind w:left="-16632" w:hanging="360"/>
      </w:pPr>
      <w:rPr>
        <w:rFonts w:ascii="Courier New" w:hAnsi="Courier New" w:cs="Courier New" w:hint="default"/>
      </w:rPr>
    </w:lvl>
    <w:lvl w:ilvl="2" w:tplc="04090005">
      <w:start w:val="1"/>
      <w:numFmt w:val="bullet"/>
      <w:lvlText w:val=""/>
      <w:lvlJc w:val="left"/>
      <w:pPr>
        <w:ind w:left="-15912" w:hanging="360"/>
      </w:pPr>
      <w:rPr>
        <w:rFonts w:ascii="Wingdings" w:hAnsi="Wingdings" w:hint="default"/>
      </w:rPr>
    </w:lvl>
    <w:lvl w:ilvl="3" w:tplc="04090001" w:tentative="1">
      <w:start w:val="1"/>
      <w:numFmt w:val="bullet"/>
      <w:lvlText w:val=""/>
      <w:lvlJc w:val="left"/>
      <w:pPr>
        <w:ind w:left="-15192" w:hanging="360"/>
      </w:pPr>
      <w:rPr>
        <w:rFonts w:ascii="Symbol" w:hAnsi="Symbol" w:hint="default"/>
      </w:rPr>
    </w:lvl>
    <w:lvl w:ilvl="4" w:tplc="04090003" w:tentative="1">
      <w:start w:val="1"/>
      <w:numFmt w:val="bullet"/>
      <w:lvlText w:val="o"/>
      <w:lvlJc w:val="left"/>
      <w:pPr>
        <w:ind w:left="-14472" w:hanging="360"/>
      </w:pPr>
      <w:rPr>
        <w:rFonts w:ascii="Courier New" w:hAnsi="Courier New" w:cs="Courier New" w:hint="default"/>
      </w:rPr>
    </w:lvl>
    <w:lvl w:ilvl="5" w:tplc="04090005" w:tentative="1">
      <w:start w:val="1"/>
      <w:numFmt w:val="bullet"/>
      <w:lvlText w:val=""/>
      <w:lvlJc w:val="left"/>
      <w:pPr>
        <w:ind w:left="-13752" w:hanging="360"/>
      </w:pPr>
      <w:rPr>
        <w:rFonts w:ascii="Wingdings" w:hAnsi="Wingdings" w:hint="default"/>
      </w:rPr>
    </w:lvl>
    <w:lvl w:ilvl="6" w:tplc="04090001" w:tentative="1">
      <w:start w:val="1"/>
      <w:numFmt w:val="bullet"/>
      <w:lvlText w:val=""/>
      <w:lvlJc w:val="left"/>
      <w:pPr>
        <w:ind w:left="-13032" w:hanging="360"/>
      </w:pPr>
      <w:rPr>
        <w:rFonts w:ascii="Symbol" w:hAnsi="Symbol" w:hint="default"/>
      </w:rPr>
    </w:lvl>
    <w:lvl w:ilvl="7" w:tplc="04090003" w:tentative="1">
      <w:start w:val="1"/>
      <w:numFmt w:val="bullet"/>
      <w:lvlText w:val="o"/>
      <w:lvlJc w:val="left"/>
      <w:pPr>
        <w:ind w:left="-12312" w:hanging="360"/>
      </w:pPr>
      <w:rPr>
        <w:rFonts w:ascii="Courier New" w:hAnsi="Courier New" w:cs="Courier New" w:hint="default"/>
      </w:rPr>
    </w:lvl>
    <w:lvl w:ilvl="8" w:tplc="04090005" w:tentative="1">
      <w:start w:val="1"/>
      <w:numFmt w:val="bullet"/>
      <w:lvlText w:val=""/>
      <w:lvlJc w:val="left"/>
      <w:pPr>
        <w:ind w:left="-11592" w:hanging="360"/>
      </w:pPr>
      <w:rPr>
        <w:rFonts w:ascii="Wingdings" w:hAnsi="Wingdings" w:hint="default"/>
      </w:rPr>
    </w:lvl>
  </w:abstractNum>
  <w:num w:numId="1">
    <w:abstractNumId w:val="2"/>
  </w:num>
  <w:num w:numId="2">
    <w:abstractNumId w:val="5"/>
  </w:num>
  <w:num w:numId="3">
    <w:abstractNumId w:val="9"/>
  </w:num>
  <w:num w:numId="4">
    <w:abstractNumId w:val="11"/>
  </w:num>
  <w:num w:numId="5">
    <w:abstractNumId w:val="6"/>
  </w:num>
  <w:num w:numId="6">
    <w:abstractNumId w:val="3"/>
  </w:num>
  <w:num w:numId="7">
    <w:abstractNumId w:val="12"/>
  </w:num>
  <w:num w:numId="8">
    <w:abstractNumId w:val="13"/>
  </w:num>
  <w:num w:numId="9">
    <w:abstractNumId w:val="4"/>
  </w:num>
  <w:num w:numId="10">
    <w:abstractNumId w:val="14"/>
  </w:num>
  <w:num w:numId="11">
    <w:abstractNumId w:val="7"/>
  </w:num>
  <w:num w:numId="12">
    <w:abstractNumId w:val="1"/>
  </w:num>
  <w:num w:numId="13">
    <w:abstractNumId w:val="10"/>
  </w:num>
  <w:num w:numId="14">
    <w:abstractNumId w:val="16"/>
  </w:num>
  <w:num w:numId="15">
    <w:abstractNumId w:val="15"/>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357"/>
    <w:rsid w:val="000818DE"/>
    <w:rsid w:val="000B53FE"/>
    <w:rsid w:val="001876DB"/>
    <w:rsid w:val="001A75FB"/>
    <w:rsid w:val="00216B9E"/>
    <w:rsid w:val="00220BCE"/>
    <w:rsid w:val="002539CB"/>
    <w:rsid w:val="0026514A"/>
    <w:rsid w:val="00266526"/>
    <w:rsid w:val="002709D5"/>
    <w:rsid w:val="002D0452"/>
    <w:rsid w:val="003142F2"/>
    <w:rsid w:val="00350005"/>
    <w:rsid w:val="00354073"/>
    <w:rsid w:val="003E2A36"/>
    <w:rsid w:val="004A5316"/>
    <w:rsid w:val="004C4B13"/>
    <w:rsid w:val="004D64F1"/>
    <w:rsid w:val="00503E53"/>
    <w:rsid w:val="00526BB9"/>
    <w:rsid w:val="00537C05"/>
    <w:rsid w:val="005419F6"/>
    <w:rsid w:val="00587273"/>
    <w:rsid w:val="005A68DF"/>
    <w:rsid w:val="005F3D81"/>
    <w:rsid w:val="00610A8B"/>
    <w:rsid w:val="00646B0F"/>
    <w:rsid w:val="00655ACF"/>
    <w:rsid w:val="00745AC9"/>
    <w:rsid w:val="007A4F39"/>
    <w:rsid w:val="008261DD"/>
    <w:rsid w:val="0083711D"/>
    <w:rsid w:val="008977CF"/>
    <w:rsid w:val="008D05A9"/>
    <w:rsid w:val="008E166C"/>
    <w:rsid w:val="009216AC"/>
    <w:rsid w:val="0099452D"/>
    <w:rsid w:val="009E3D8C"/>
    <w:rsid w:val="00A125E1"/>
    <w:rsid w:val="00AA4C83"/>
    <w:rsid w:val="00AB6563"/>
    <w:rsid w:val="00AE178F"/>
    <w:rsid w:val="00B27BD0"/>
    <w:rsid w:val="00B3074B"/>
    <w:rsid w:val="00B3487B"/>
    <w:rsid w:val="00B5542C"/>
    <w:rsid w:val="00B6109A"/>
    <w:rsid w:val="00B841A8"/>
    <w:rsid w:val="00B958D9"/>
    <w:rsid w:val="00BF7B8E"/>
    <w:rsid w:val="00C06170"/>
    <w:rsid w:val="00C20EB2"/>
    <w:rsid w:val="00CA7240"/>
    <w:rsid w:val="00CB7F9D"/>
    <w:rsid w:val="00CE77BD"/>
    <w:rsid w:val="00D555A8"/>
    <w:rsid w:val="00D7019F"/>
    <w:rsid w:val="00DA3B57"/>
    <w:rsid w:val="00DF170A"/>
    <w:rsid w:val="00E21F43"/>
    <w:rsid w:val="00E570D6"/>
    <w:rsid w:val="00E60391"/>
    <w:rsid w:val="00E606A6"/>
    <w:rsid w:val="00E739EF"/>
    <w:rsid w:val="00EB749A"/>
    <w:rsid w:val="00EE6647"/>
    <w:rsid w:val="00F1378F"/>
    <w:rsid w:val="00F16648"/>
    <w:rsid w:val="00F26357"/>
    <w:rsid w:val="00F562E9"/>
    <w:rsid w:val="00F74F5D"/>
    <w:rsid w:val="00F839DC"/>
    <w:rsid w:val="00F85725"/>
    <w:rsid w:val="00F86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64A81A-B15A-433C-92D7-B80D59C0F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357"/>
    <w:pPr>
      <w:spacing w:after="0" w:line="240" w:lineRule="auto"/>
    </w:pPr>
    <w:rPr>
      <w:rFonts w:ascii="Times New Roman" w:eastAsia="Times New Roman" w:hAnsi="Times New Roman" w:cs="Times New Roman"/>
      <w:color w:val="000000"/>
      <w:kern w:val="28"/>
      <w:sz w:val="20"/>
      <w:szCs w:val="20"/>
      <w14:ligatures w14:val="standard"/>
      <w14:cntxtAlts/>
    </w:rPr>
  </w:style>
  <w:style w:type="paragraph" w:styleId="Heading1">
    <w:name w:val="heading 1"/>
    <w:basedOn w:val="Normal"/>
    <w:next w:val="Normal"/>
    <w:link w:val="Heading1Char"/>
    <w:qFormat/>
    <w:rsid w:val="00F839DC"/>
    <w:pPr>
      <w:widowControl w:val="0"/>
      <w:autoSpaceDE w:val="0"/>
      <w:autoSpaceDN w:val="0"/>
      <w:adjustRightInd w:val="0"/>
      <w:jc w:val="both"/>
      <w:outlineLvl w:val="0"/>
    </w:pPr>
    <w:rPr>
      <w:rFonts w:ascii="CG Times" w:hAnsi="CG Times"/>
      <w:i/>
      <w:iCs/>
      <w:szCs w:val="24"/>
    </w:rPr>
  </w:style>
  <w:style w:type="paragraph" w:styleId="Heading2">
    <w:name w:val="heading 2"/>
    <w:basedOn w:val="Normal"/>
    <w:next w:val="Normal"/>
    <w:link w:val="Heading2Char"/>
    <w:qFormat/>
    <w:rsid w:val="009216AC"/>
    <w:pPr>
      <w:keepNext/>
      <w:autoSpaceDE w:val="0"/>
      <w:autoSpaceDN w:val="0"/>
      <w:adjustRightInd w:val="0"/>
      <w:outlineLvl w:val="1"/>
    </w:pPr>
    <w:rPr>
      <w:rFonts w:ascii="CG Times" w:hAnsi="CG Times"/>
      <w:szCs w:val="24"/>
    </w:rPr>
  </w:style>
  <w:style w:type="paragraph" w:styleId="Heading3">
    <w:name w:val="heading 3"/>
    <w:basedOn w:val="Normal"/>
    <w:next w:val="Normal"/>
    <w:link w:val="Heading3Char"/>
    <w:qFormat/>
    <w:rsid w:val="00D7019F"/>
    <w:pPr>
      <w:keepNext/>
      <w:autoSpaceDE w:val="0"/>
      <w:autoSpaceDN w:val="0"/>
      <w:adjustRightInd w:val="0"/>
      <w:jc w:val="both"/>
      <w:outlineLvl w:val="2"/>
    </w:pPr>
    <w:rPr>
      <w:b/>
      <w:bCs/>
      <w:szCs w:val="24"/>
    </w:rPr>
  </w:style>
  <w:style w:type="paragraph" w:styleId="Heading4">
    <w:name w:val="heading 4"/>
    <w:basedOn w:val="Normal"/>
    <w:next w:val="Normal"/>
    <w:link w:val="Heading4Char"/>
    <w:qFormat/>
    <w:rsid w:val="00F839DC"/>
    <w:pPr>
      <w:keepNext/>
      <w:widowControl w:val="0"/>
      <w:tabs>
        <w:tab w:val="left" w:pos="-1440"/>
      </w:tabs>
      <w:autoSpaceDE w:val="0"/>
      <w:autoSpaceDN w:val="0"/>
      <w:adjustRightInd w:val="0"/>
      <w:ind w:left="2160" w:hanging="2160"/>
      <w:jc w:val="center"/>
      <w:outlineLvl w:val="3"/>
    </w:pPr>
    <w:rPr>
      <w:rFonts w:ascii="CG Times" w:hAnsi="CG Times"/>
      <w:i/>
      <w:iCs/>
      <w:szCs w:val="32"/>
    </w:rPr>
  </w:style>
  <w:style w:type="paragraph" w:styleId="Heading7">
    <w:name w:val="heading 7"/>
    <w:basedOn w:val="Normal"/>
    <w:next w:val="Normal"/>
    <w:link w:val="Heading7Char"/>
    <w:qFormat/>
    <w:rsid w:val="00F839DC"/>
    <w:pPr>
      <w:keepNext/>
      <w:autoSpaceDE w:val="0"/>
      <w:autoSpaceDN w:val="0"/>
      <w:adjustRightInd w:val="0"/>
      <w:outlineLvl w:val="6"/>
    </w:pPr>
    <w:rPr>
      <w:rFonts w:ascii="CG Times" w:hAnsi="CG Times" w:cs="Arial"/>
      <w:color w:val="0000FF"/>
    </w:rPr>
  </w:style>
  <w:style w:type="paragraph" w:styleId="Heading8">
    <w:name w:val="heading 8"/>
    <w:basedOn w:val="Normal"/>
    <w:next w:val="Normal"/>
    <w:link w:val="Heading8Char"/>
    <w:qFormat/>
    <w:rsid w:val="00F839DC"/>
    <w:pPr>
      <w:keepNext/>
      <w:widowControl w:val="0"/>
      <w:autoSpaceDE w:val="0"/>
      <w:autoSpaceDN w:val="0"/>
      <w:adjustRightInd w:val="0"/>
      <w:jc w:val="both"/>
      <w:outlineLvl w:val="7"/>
    </w:pPr>
    <w:rPr>
      <w:rFonts w:ascii="CG Times" w:hAnsi="CG Times"/>
      <w:color w:val="0000FF"/>
      <w:szCs w:val="24"/>
    </w:rPr>
  </w:style>
  <w:style w:type="paragraph" w:styleId="Heading9">
    <w:name w:val="heading 9"/>
    <w:basedOn w:val="Normal"/>
    <w:next w:val="Normal"/>
    <w:link w:val="Heading9Char"/>
    <w:qFormat/>
    <w:rsid w:val="00F839DC"/>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center"/>
      <w:outlineLvl w:val="8"/>
    </w:pPr>
    <w:rPr>
      <w:rFonts w:ascii="CG Times" w:hAnsi="CG Times"/>
      <w:b/>
      <w:bCs/>
      <w:color w:val="0000F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BD0"/>
    <w:pPr>
      <w:tabs>
        <w:tab w:val="center" w:pos="4680"/>
        <w:tab w:val="right" w:pos="9360"/>
      </w:tabs>
    </w:pPr>
    <w:rPr>
      <w:rFonts w:eastAsiaTheme="minorHAnsi" w:cstheme="minorBidi"/>
    </w:rPr>
  </w:style>
  <w:style w:type="character" w:customStyle="1" w:styleId="HeaderChar">
    <w:name w:val="Header Char"/>
    <w:basedOn w:val="DefaultParagraphFont"/>
    <w:link w:val="Header"/>
    <w:uiPriority w:val="99"/>
    <w:rsid w:val="00B27BD0"/>
    <w:rPr>
      <w:rFonts w:ascii="Times New Roman" w:hAnsi="Times New Roman"/>
      <w:sz w:val="24"/>
    </w:rPr>
  </w:style>
  <w:style w:type="paragraph" w:styleId="Footer">
    <w:name w:val="footer"/>
    <w:basedOn w:val="Normal"/>
    <w:link w:val="FooterChar"/>
    <w:uiPriority w:val="99"/>
    <w:unhideWhenUsed/>
    <w:rsid w:val="00B27BD0"/>
    <w:pPr>
      <w:tabs>
        <w:tab w:val="center" w:pos="4680"/>
        <w:tab w:val="right" w:pos="9360"/>
      </w:tabs>
    </w:pPr>
    <w:rPr>
      <w:rFonts w:eastAsiaTheme="minorHAnsi" w:cstheme="minorBidi"/>
    </w:rPr>
  </w:style>
  <w:style w:type="character" w:customStyle="1" w:styleId="FooterChar">
    <w:name w:val="Footer Char"/>
    <w:basedOn w:val="DefaultParagraphFont"/>
    <w:link w:val="Footer"/>
    <w:uiPriority w:val="99"/>
    <w:rsid w:val="00B27BD0"/>
    <w:rPr>
      <w:rFonts w:ascii="Times New Roman" w:hAnsi="Times New Roman"/>
      <w:sz w:val="24"/>
    </w:rPr>
  </w:style>
  <w:style w:type="paragraph" w:styleId="BalloonText">
    <w:name w:val="Balloon Text"/>
    <w:basedOn w:val="Normal"/>
    <w:link w:val="BalloonTextChar"/>
    <w:uiPriority w:val="99"/>
    <w:semiHidden/>
    <w:unhideWhenUsed/>
    <w:rsid w:val="00B27BD0"/>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B27BD0"/>
    <w:rPr>
      <w:rFonts w:ascii="Tahoma" w:hAnsi="Tahoma" w:cs="Tahoma"/>
      <w:sz w:val="16"/>
      <w:szCs w:val="16"/>
    </w:rPr>
  </w:style>
  <w:style w:type="character" w:styleId="Hyperlink">
    <w:name w:val="Hyperlink"/>
    <w:basedOn w:val="DefaultParagraphFont"/>
    <w:uiPriority w:val="99"/>
    <w:unhideWhenUsed/>
    <w:rsid w:val="005F3D81"/>
    <w:rPr>
      <w:color w:val="0000FF"/>
      <w:u w:val="single"/>
    </w:rPr>
  </w:style>
  <w:style w:type="character" w:customStyle="1" w:styleId="Heading3Char">
    <w:name w:val="Heading 3 Char"/>
    <w:basedOn w:val="DefaultParagraphFont"/>
    <w:link w:val="Heading3"/>
    <w:rsid w:val="00D7019F"/>
    <w:rPr>
      <w:rFonts w:ascii="Times New Roman" w:eastAsia="Times New Roman" w:hAnsi="Times New Roman" w:cs="Times New Roman"/>
      <w:b/>
      <w:bCs/>
      <w:sz w:val="24"/>
      <w:szCs w:val="24"/>
    </w:rPr>
  </w:style>
  <w:style w:type="paragraph" w:customStyle="1" w:styleId="Level1">
    <w:name w:val="Level 1"/>
    <w:rsid w:val="00D7019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1440"/>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F839DC"/>
    <w:rPr>
      <w:rFonts w:ascii="CG Times" w:eastAsia="Times New Roman" w:hAnsi="CG Times" w:cs="Times New Roman"/>
      <w:i/>
      <w:iCs/>
      <w:sz w:val="24"/>
      <w:szCs w:val="24"/>
    </w:rPr>
  </w:style>
  <w:style w:type="character" w:customStyle="1" w:styleId="Heading4Char">
    <w:name w:val="Heading 4 Char"/>
    <w:basedOn w:val="DefaultParagraphFont"/>
    <w:link w:val="Heading4"/>
    <w:rsid w:val="00F839DC"/>
    <w:rPr>
      <w:rFonts w:ascii="CG Times" w:eastAsia="Times New Roman" w:hAnsi="CG Times" w:cs="Times New Roman"/>
      <w:i/>
      <w:iCs/>
      <w:sz w:val="24"/>
      <w:szCs w:val="32"/>
    </w:rPr>
  </w:style>
  <w:style w:type="character" w:customStyle="1" w:styleId="Heading7Char">
    <w:name w:val="Heading 7 Char"/>
    <w:basedOn w:val="DefaultParagraphFont"/>
    <w:link w:val="Heading7"/>
    <w:rsid w:val="00F839DC"/>
    <w:rPr>
      <w:rFonts w:ascii="CG Times" w:eastAsia="Times New Roman" w:hAnsi="CG Times" w:cs="Arial"/>
      <w:color w:val="0000FF"/>
      <w:sz w:val="24"/>
      <w:szCs w:val="20"/>
    </w:rPr>
  </w:style>
  <w:style w:type="character" w:customStyle="1" w:styleId="Heading8Char">
    <w:name w:val="Heading 8 Char"/>
    <w:basedOn w:val="DefaultParagraphFont"/>
    <w:link w:val="Heading8"/>
    <w:rsid w:val="00F839DC"/>
    <w:rPr>
      <w:rFonts w:ascii="CG Times" w:eastAsia="Times New Roman" w:hAnsi="CG Times" w:cs="Times New Roman"/>
      <w:color w:val="0000FF"/>
      <w:sz w:val="24"/>
      <w:szCs w:val="24"/>
    </w:rPr>
  </w:style>
  <w:style w:type="character" w:customStyle="1" w:styleId="Heading9Char">
    <w:name w:val="Heading 9 Char"/>
    <w:basedOn w:val="DefaultParagraphFont"/>
    <w:link w:val="Heading9"/>
    <w:rsid w:val="00F839DC"/>
    <w:rPr>
      <w:rFonts w:ascii="CG Times" w:eastAsia="Times New Roman" w:hAnsi="CG Times" w:cs="Times New Roman"/>
      <w:b/>
      <w:bCs/>
      <w:color w:val="0000FF"/>
      <w:sz w:val="24"/>
      <w:szCs w:val="24"/>
    </w:rPr>
  </w:style>
  <w:style w:type="paragraph" w:styleId="BodyText">
    <w:name w:val="Body Text"/>
    <w:basedOn w:val="Normal"/>
    <w:link w:val="BodyTextChar"/>
    <w:rsid w:val="00F839DC"/>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jc w:val="both"/>
    </w:pPr>
    <w:rPr>
      <w:rFonts w:ascii="CG Times" w:hAnsi="CG Times"/>
      <w:szCs w:val="24"/>
    </w:rPr>
  </w:style>
  <w:style w:type="character" w:customStyle="1" w:styleId="BodyTextChar">
    <w:name w:val="Body Text Char"/>
    <w:basedOn w:val="DefaultParagraphFont"/>
    <w:link w:val="BodyText"/>
    <w:rsid w:val="00F839DC"/>
    <w:rPr>
      <w:rFonts w:ascii="CG Times" w:eastAsia="Times New Roman" w:hAnsi="CG Times" w:cs="Times New Roman"/>
      <w:sz w:val="24"/>
      <w:szCs w:val="24"/>
    </w:rPr>
  </w:style>
  <w:style w:type="character" w:customStyle="1" w:styleId="Hypertext">
    <w:name w:val="Hypertext"/>
    <w:rsid w:val="00F839DC"/>
    <w:rPr>
      <w:color w:val="0000FF"/>
      <w:u w:val="single"/>
    </w:rPr>
  </w:style>
  <w:style w:type="character" w:customStyle="1" w:styleId="Heading2Char">
    <w:name w:val="Heading 2 Char"/>
    <w:basedOn w:val="DefaultParagraphFont"/>
    <w:link w:val="Heading2"/>
    <w:rsid w:val="009216AC"/>
    <w:rPr>
      <w:rFonts w:ascii="CG Times" w:eastAsia="Times New Roman" w:hAnsi="CG Times" w:cs="Times New Roman"/>
      <w:sz w:val="24"/>
      <w:szCs w:val="24"/>
    </w:rPr>
  </w:style>
  <w:style w:type="paragraph" w:styleId="Title">
    <w:name w:val="Title"/>
    <w:basedOn w:val="Normal"/>
    <w:link w:val="TitleChar"/>
    <w:qFormat/>
    <w:rsid w:val="009216AC"/>
    <w:pPr>
      <w:widowControl w:val="0"/>
      <w:tabs>
        <w:tab w:val="center" w:pos="4680"/>
      </w:tabs>
      <w:autoSpaceDE w:val="0"/>
      <w:autoSpaceDN w:val="0"/>
      <w:adjustRightInd w:val="0"/>
      <w:jc w:val="center"/>
    </w:pPr>
    <w:rPr>
      <w:b/>
      <w:bCs/>
      <w:sz w:val="32"/>
      <w:szCs w:val="32"/>
      <w:u w:val="single"/>
    </w:rPr>
  </w:style>
  <w:style w:type="character" w:customStyle="1" w:styleId="TitleChar">
    <w:name w:val="Title Char"/>
    <w:basedOn w:val="DefaultParagraphFont"/>
    <w:link w:val="Title"/>
    <w:rsid w:val="009216AC"/>
    <w:rPr>
      <w:rFonts w:ascii="Times New Roman" w:eastAsia="Times New Roman" w:hAnsi="Times New Roman" w:cs="Times New Roman"/>
      <w:b/>
      <w:bCs/>
      <w:sz w:val="32"/>
      <w:szCs w:val="32"/>
      <w:u w:val="single"/>
    </w:rPr>
  </w:style>
  <w:style w:type="paragraph" w:styleId="ListParagraph">
    <w:name w:val="List Paragraph"/>
    <w:basedOn w:val="Normal"/>
    <w:uiPriority w:val="34"/>
    <w:qFormat/>
    <w:rsid w:val="009216AC"/>
    <w:pPr>
      <w:ind w:left="720"/>
      <w:contextualSpacing/>
    </w:pPr>
  </w:style>
  <w:style w:type="paragraph" w:customStyle="1" w:styleId="FSNormal">
    <w:name w:val="FSNormal"/>
    <w:qFormat/>
    <w:rsid w:val="009216AC"/>
    <w:pPr>
      <w:spacing w:after="0" w:line="240" w:lineRule="auto"/>
      <w:jc w:val="both"/>
    </w:pPr>
    <w:rPr>
      <w:rFonts w:ascii="Times New Roman" w:eastAsia="Calibri"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F:\DATA\1Template\iSi%20Environmental%20Letterhead%20All%20Offices%20(electron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7D4D51-7368-4490-80DF-385898C3D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iSi Environmental Letterhead All Offices (electronic).dotx</Template>
  <TotalTime>8</TotalTime>
  <Pages>4</Pages>
  <Words>1074</Words>
  <Characters>6127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ISI</Company>
  <LinksUpToDate>false</LinksUpToDate>
  <CharactersWithSpaces>7187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 Hadley</dc:creator>
  <cp:lastModifiedBy>Tami Hadley</cp:lastModifiedBy>
  <cp:revision>2</cp:revision>
  <cp:lastPrinted>2011-12-29T20:19:00Z</cp:lastPrinted>
  <dcterms:created xsi:type="dcterms:W3CDTF">2017-07-11T22:45:00Z</dcterms:created>
  <dcterms:modified xsi:type="dcterms:W3CDTF">2017-07-11T22:53:00Z</dcterms:modified>
</cp:coreProperties>
</file>