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317C" w14:textId="355F969C" w:rsidR="00CA6CAB" w:rsidRPr="00CA6CAB" w:rsidRDefault="00CA6CAB" w:rsidP="00CA6CAB">
      <w:r w:rsidRPr="00CA6CAB">
        <w:t>Today</w:t>
      </w:r>
      <w:r>
        <w:t xml:space="preserve"> (9/22/2026)</w:t>
      </w:r>
      <w:r w:rsidRPr="00CA6CAB">
        <w:t xml:space="preserve">, I decided to take a long position in Micron Technology (MU), despite the current macro environment and the recent wave of concerns surrounding AI. </w:t>
      </w:r>
    </w:p>
    <w:p w14:paraId="69752255" w14:textId="77777777" w:rsidR="00CA6CAB" w:rsidRPr="00CA6CAB" w:rsidRDefault="00CA6CAB" w:rsidP="00CA6CAB">
      <w:r w:rsidRPr="00CA6CAB">
        <w:t xml:space="preserve">We are currently facing several headwinds: inflationary pressure from oil prices, tighter monetary-policy conditions, and pressure coming from bond yields. At the same time, however, semiconductor demand continues to increase, while the gap between supply and demand remains significant. </w:t>
      </w:r>
    </w:p>
    <w:p w14:paraId="4DB3113C" w14:textId="77777777" w:rsidR="00CA6CAB" w:rsidRPr="00CA6CAB" w:rsidRDefault="00CA6CAB" w:rsidP="00CA6CAB">
      <w:r w:rsidRPr="00CA6CAB">
        <w:t xml:space="preserve">The key question for me is whether the current concerns around AI represent a temporary sentiment-driven pullback or whether they reflect a fundamental deterioration in AI-related demand. </w:t>
      </w:r>
    </w:p>
    <w:p w14:paraId="69A91C63" w14:textId="77777777" w:rsidR="00CA6CAB" w:rsidRPr="00CA6CAB" w:rsidRDefault="00CA6CAB" w:rsidP="00CA6CAB">
      <w:pPr>
        <w:rPr>
          <w:b/>
          <w:bCs/>
        </w:rPr>
      </w:pPr>
      <w:r w:rsidRPr="00CA6CAB">
        <w:rPr>
          <w:b/>
          <w:bCs/>
        </w:rPr>
        <w:t xml:space="preserve">The Micron thesis </w:t>
      </w:r>
    </w:p>
    <w:p w14:paraId="17B2E9E5" w14:textId="77777777" w:rsidR="00CA6CAB" w:rsidRPr="00CA6CAB" w:rsidRDefault="00CA6CAB" w:rsidP="00CA6CAB">
      <w:r w:rsidRPr="00CA6CAB">
        <w:t xml:space="preserve">Micron is a semiconductor manufacturer focused primarily on memory products such as DRAM, NAND and HBM. The stock is currently trading below its all-time high. </w:t>
      </w:r>
    </w:p>
    <w:p w14:paraId="45C3A732" w14:textId="77777777" w:rsidR="00CA6CAB" w:rsidRPr="00CA6CAB" w:rsidRDefault="00CA6CAB" w:rsidP="00CA6CAB">
      <w:r w:rsidRPr="00CA6CAB">
        <w:t xml:space="preserve">The key point of the thesis is that memory demand remains extremely strong, while supply is not increasing fast enough to fully satisfy it. This creates a supply-demand imbalance that could keep memory prices elevated over the coming years. </w:t>
      </w:r>
    </w:p>
    <w:p w14:paraId="7DF1FB0F" w14:textId="77777777" w:rsidR="00CA6CAB" w:rsidRPr="00CA6CAB" w:rsidRDefault="00CA6CAB" w:rsidP="00CA6CAB">
      <w:r w:rsidRPr="00CA6CAB">
        <w:t xml:space="preserve">That situation directly benefits Micron. If memory prices remain high while demand continues to grow, the company could continue to increase both revenue and profitability. </w:t>
      </w:r>
    </w:p>
    <w:p w14:paraId="47395CBE" w14:textId="77777777" w:rsidR="00CA6CAB" w:rsidRPr="00CA6CAB" w:rsidRDefault="00CA6CAB" w:rsidP="00CA6CAB">
      <w:r w:rsidRPr="00CA6CAB">
        <w:t xml:space="preserve">More importantly, if earnings and EPS continue to increase while the market maintains a broadly similar valuation multiple, the share price could theoretically follow earnings higher. </w:t>
      </w:r>
    </w:p>
    <w:p w14:paraId="7EA7CD3F" w14:textId="77777777" w:rsidR="00CA6CAB" w:rsidRPr="00CA6CAB" w:rsidRDefault="00CA6CAB" w:rsidP="00CA6CAB">
      <w:r w:rsidRPr="00CA6CAB">
        <w:t xml:space="preserve">For example, if Micron were to return to its previous all-time high of approximately $1,200 per share while maintaining an 8.3x P/E multiple, it would require approximately $145 of annualized EPS. </w:t>
      </w:r>
    </w:p>
    <w:p w14:paraId="0679DD21" w14:textId="77777777" w:rsidR="00CA6CAB" w:rsidRPr="00CA6CAB" w:rsidRDefault="00CA6CAB" w:rsidP="00CA6CAB">
      <w:r w:rsidRPr="00CA6CAB">
        <w:t xml:space="preserve">Looking at the quarterly numbers, if EPS were to increase from roughly $31 to $38 per quarter, and we assume a </w:t>
      </w:r>
      <w:proofErr w:type="gramStart"/>
      <w:r w:rsidRPr="00CA6CAB">
        <w:t>broadly</w:t>
      </w:r>
      <w:proofErr w:type="gramEnd"/>
      <w:r w:rsidRPr="00CA6CAB">
        <w:t xml:space="preserve"> proportional relationship between EPS and revenue, this would imply approximately $9 billion of additional quarterly revenue, or around 22% growth versus the previous quarter. </w:t>
      </w:r>
    </w:p>
    <w:p w14:paraId="0C24FC8E" w14:textId="77777777" w:rsidR="00CA6CAB" w:rsidRPr="00CA6CAB" w:rsidRDefault="00CA6CAB" w:rsidP="00CA6CAB">
      <w:r w:rsidRPr="00CA6CAB">
        <w:t xml:space="preserve">In other words, if Micron continues to grow earnings and revenue at this pace, maintaining an approximately 8x P/E multiple would require the share price to increase alongside earnings. Otherwise, the P/E multiple would compress, meaning that the market would be assigning a lower valuation to the company despite continued growth in revenue and earnings. </w:t>
      </w:r>
    </w:p>
    <w:p w14:paraId="01F98498" w14:textId="77777777" w:rsidR="00CA6CAB" w:rsidRPr="00CA6CAB" w:rsidRDefault="00CA6CAB" w:rsidP="00CA6CAB">
      <w:r w:rsidRPr="00CA6CAB">
        <w:lastRenderedPageBreak/>
        <w:t xml:space="preserve">Conversely, if EPS continues to increase while the stock price does not rise at the same pace, the P/E multiple would compress, meaning Micron would trade at an even lower valuation relative to its earnings. </w:t>
      </w:r>
    </w:p>
    <w:p w14:paraId="5C6066C0" w14:textId="77777777" w:rsidR="00CA6CAB" w:rsidRPr="00CA6CAB" w:rsidRDefault="00CA6CAB" w:rsidP="00CA6CAB">
      <w:pPr>
        <w:rPr>
          <w:b/>
          <w:bCs/>
        </w:rPr>
      </w:pPr>
      <w:r w:rsidRPr="00CA6CAB">
        <w:rPr>
          <w:b/>
          <w:bCs/>
        </w:rPr>
        <w:t xml:space="preserve">The key question </w:t>
      </w:r>
    </w:p>
    <w:p w14:paraId="7952C20B" w14:textId="77777777" w:rsidR="00CA6CAB" w:rsidRPr="00CA6CAB" w:rsidRDefault="00CA6CAB" w:rsidP="00CA6CAB">
      <w:r w:rsidRPr="00CA6CAB">
        <w:t xml:space="preserve">The main dilemma with this thesis is determining whether we are looking at peak earnings or whether Micron still has significant room to grow revenue and earnings. </w:t>
      </w:r>
    </w:p>
    <w:p w14:paraId="76EB1F39" w14:textId="77777777" w:rsidR="00CA6CAB" w:rsidRPr="00CA6CAB" w:rsidRDefault="00CA6CAB" w:rsidP="00CA6CAB">
      <w:r w:rsidRPr="00CA6CAB">
        <w:t xml:space="preserve">This is where analyst estimates become important. These are not my own forecasts, but projections from firms such as Citi. </w:t>
      </w:r>
    </w:p>
    <w:p w14:paraId="3519B808" w14:textId="77777777" w:rsidR="00CA6CAB" w:rsidRPr="00CA6CAB" w:rsidRDefault="00CA6CAB" w:rsidP="00CA6CAB">
      <w:r w:rsidRPr="00CA6CAB">
        <w:t xml:space="preserve">Citi currently expects DRAM demand to grow by around 30% in 2027, versus approximately 19% supply growth. That would imply an estimated supply-demand deficit of around 8.7%. </w:t>
      </w:r>
    </w:p>
    <w:p w14:paraId="36B5DB28" w14:textId="77777777" w:rsidR="00CA6CAB" w:rsidRPr="00CA6CAB" w:rsidRDefault="00CA6CAB" w:rsidP="00CA6CAB">
      <w:r w:rsidRPr="00CA6CAB">
        <w:t xml:space="preserve">For 2028, Citi expects DRAM demand to grow by approximately 35%, versus 22% supply growth, with the estimated deficit widening to around 9.7%. </w:t>
      </w:r>
    </w:p>
    <w:p w14:paraId="79A5559C" w14:textId="77777777" w:rsidR="00CA6CAB" w:rsidRPr="00CA6CAB" w:rsidRDefault="00CA6CAB" w:rsidP="00CA6CAB">
      <w:r w:rsidRPr="00CA6CAB">
        <w:t xml:space="preserve">If these estimates prove accurate, the memory market could remain structurally undersupplied, particularly as AI-related demand continues to increase. </w:t>
      </w:r>
    </w:p>
    <w:p w14:paraId="56D237D5" w14:textId="77777777" w:rsidR="00CA6CAB" w:rsidRPr="00CA6CAB" w:rsidRDefault="00CA6CAB" w:rsidP="00CA6CAB">
      <w:r w:rsidRPr="00CA6CAB">
        <w:t xml:space="preserve">The supply side is also difficult to expand quickly. DRAM and HBM manufacturing require massive capital investment, advanced technology, and significant time to build new capacity. </w:t>
      </w:r>
    </w:p>
    <w:p w14:paraId="59B4D173" w14:textId="77777777" w:rsidR="00CA6CAB" w:rsidRPr="00CA6CAB" w:rsidRDefault="00CA6CAB" w:rsidP="00CA6CAB">
      <w:r w:rsidRPr="00CA6CAB">
        <w:t xml:space="preserve">Micron is increasing its own capital expenditure to respond to this demand, but a significant portion of the additional capacity will not reach the market immediately. </w:t>
      </w:r>
    </w:p>
    <w:p w14:paraId="08D41846" w14:textId="77777777" w:rsidR="00CA6CAB" w:rsidRPr="00CA6CAB" w:rsidRDefault="00CA6CAB" w:rsidP="00CA6CAB">
      <w:r w:rsidRPr="00CA6CAB">
        <w:t xml:space="preserve">Therefore, the real question is how long this supply-demand imbalance can persist and, more importantly, how long current pricing and margins can remain elevated. </w:t>
      </w:r>
    </w:p>
    <w:p w14:paraId="4BB3F3B2" w14:textId="77777777" w:rsidR="00CA6CAB" w:rsidRPr="00CA6CAB" w:rsidRDefault="00CA6CAB" w:rsidP="00CA6CAB">
      <w:pPr>
        <w:rPr>
          <w:b/>
          <w:bCs/>
        </w:rPr>
      </w:pPr>
      <w:r w:rsidRPr="00CA6CAB">
        <w:rPr>
          <w:b/>
          <w:bCs/>
        </w:rPr>
        <w:t xml:space="preserve">The most important part of the thesis </w:t>
      </w:r>
    </w:p>
    <w:p w14:paraId="5198CB54" w14:textId="77777777" w:rsidR="00CA6CAB" w:rsidRPr="00CA6CAB" w:rsidRDefault="00CA6CAB" w:rsidP="00CA6CAB">
      <w:r w:rsidRPr="00CA6CAB">
        <w:t xml:space="preserve">If the market is currently valuing Micron as a company approaching peak-cycle earnings, but the memory-demand cycle — particularly AI-driven demand — still has several years to run, earnings could continue to </w:t>
      </w:r>
      <w:proofErr w:type="gramStart"/>
      <w:r w:rsidRPr="00CA6CAB">
        <w:t>grow</w:t>
      </w:r>
      <w:proofErr w:type="gramEnd"/>
      <w:r w:rsidRPr="00CA6CAB">
        <w:t xml:space="preserve"> and the current valuation multiple could ultimately prove too low. </w:t>
      </w:r>
    </w:p>
    <w:p w14:paraId="6DBD4348" w14:textId="77777777" w:rsidR="00CA6CAB" w:rsidRPr="00CA6CAB" w:rsidRDefault="00CA6CAB" w:rsidP="00CA6CAB">
      <w:r w:rsidRPr="00CA6CAB">
        <w:t xml:space="preserve">Micron is already showing how strong this cycle has become. </w:t>
      </w:r>
    </w:p>
    <w:p w14:paraId="10CB2555" w14:textId="77777777" w:rsidR="00CA6CAB" w:rsidRPr="00CA6CAB" w:rsidRDefault="00CA6CAB" w:rsidP="00CA6CAB">
      <w:r w:rsidRPr="00CA6CAB">
        <w:t xml:space="preserve">In fiscal Q3 2026, the company generated $41.46 billion in revenue, compared with $23.86 billion in the previous quarter, and reported GAAP EPS of $24.67. </w:t>
      </w:r>
    </w:p>
    <w:p w14:paraId="5C63F13D" w14:textId="77777777" w:rsidR="00CA6CAB" w:rsidRPr="00CA6CAB" w:rsidRDefault="00CA6CAB" w:rsidP="00CA6CAB">
      <w:r w:rsidRPr="00CA6CAB">
        <w:t xml:space="preserve">For fiscal Q4, management guided toward approximately $50 billion in revenue and GAAP EPS of around $30.73. </w:t>
      </w:r>
    </w:p>
    <w:p w14:paraId="012A9651" w14:textId="77777777" w:rsidR="00CA6CAB" w:rsidRPr="00CA6CAB" w:rsidRDefault="00CA6CAB" w:rsidP="00CA6CAB">
      <w:r w:rsidRPr="00CA6CAB">
        <w:lastRenderedPageBreak/>
        <w:t xml:space="preserve">The main risk is therefore that we are looking at extraordinary earnings that are not sustainable. </w:t>
      </w:r>
    </w:p>
    <w:p w14:paraId="59D55D24" w14:textId="77777777" w:rsidR="00CA6CAB" w:rsidRPr="00CA6CAB" w:rsidRDefault="00CA6CAB" w:rsidP="00CA6CAB">
      <w:r w:rsidRPr="00CA6CAB">
        <w:t xml:space="preserve">The main catalyst, on the other hand, is that DRAM and HBM supply </w:t>
      </w:r>
      <w:proofErr w:type="gramStart"/>
      <w:r w:rsidRPr="00CA6CAB">
        <w:t>remains</w:t>
      </w:r>
      <w:proofErr w:type="gramEnd"/>
      <w:r w:rsidRPr="00CA6CAB">
        <w:t xml:space="preserve"> constrained while AI-driven demand continues to grow. </w:t>
      </w:r>
    </w:p>
    <w:p w14:paraId="6963255D" w14:textId="77777777" w:rsidR="00CA6CAB" w:rsidRPr="00CA6CAB" w:rsidRDefault="00CA6CAB" w:rsidP="00CA6CAB">
      <w:pPr>
        <w:rPr>
          <w:b/>
          <w:bCs/>
        </w:rPr>
      </w:pPr>
      <w:r w:rsidRPr="00CA6CAB">
        <w:rPr>
          <w:b/>
          <w:bCs/>
        </w:rPr>
        <w:t xml:space="preserve">Valuation </w:t>
      </w:r>
    </w:p>
    <w:p w14:paraId="1B9D4CAF" w14:textId="77777777" w:rsidR="00CA6CAB" w:rsidRPr="00CA6CAB" w:rsidRDefault="00CA6CAB" w:rsidP="00CA6CAB">
      <w:r w:rsidRPr="00CA6CAB">
        <w:t xml:space="preserve">Regarding the stock price, Micron's intraday all-time high was $1,213.56, reached in June 2026. </w:t>
      </w:r>
    </w:p>
    <w:p w14:paraId="7C939EA0" w14:textId="77777777" w:rsidR="00CA6CAB" w:rsidRPr="00CA6CAB" w:rsidRDefault="00CA6CAB" w:rsidP="00CA6CAB">
      <w:r w:rsidRPr="00CA6CAB">
        <w:t xml:space="preserve">With the stock closing at $1,043.96 on September 21, 2026, shares are approximately 14% below their all-time high. </w:t>
      </w:r>
    </w:p>
    <w:p w14:paraId="46396426" w14:textId="77777777" w:rsidR="00CA6CAB" w:rsidRPr="00CA6CAB" w:rsidRDefault="00CA6CAB" w:rsidP="00CA6CAB">
      <w:pPr>
        <w:rPr>
          <w:b/>
          <w:bCs/>
        </w:rPr>
      </w:pPr>
      <w:r w:rsidRPr="00CA6CAB">
        <w:rPr>
          <w:b/>
          <w:bCs/>
        </w:rPr>
        <w:t xml:space="preserve">Bottom line </w:t>
      </w:r>
    </w:p>
    <w:p w14:paraId="22C3E1BE" w14:textId="77777777" w:rsidR="00CA6CAB" w:rsidRPr="00CA6CAB" w:rsidRDefault="00CA6CAB" w:rsidP="00CA6CAB">
      <w:r w:rsidRPr="00CA6CAB">
        <w:t xml:space="preserve">The thesis ultimately depends on three variables: </w:t>
      </w:r>
    </w:p>
    <w:p w14:paraId="4FB80AFE" w14:textId="77777777" w:rsidR="00CA6CAB" w:rsidRPr="00CA6CAB" w:rsidRDefault="00CA6CAB" w:rsidP="00CA6CAB">
      <w:pPr>
        <w:numPr>
          <w:ilvl w:val="0"/>
          <w:numId w:val="1"/>
        </w:numPr>
      </w:pPr>
      <w:r w:rsidRPr="00CA6CAB">
        <w:t>Memory demand continues to grow.</w:t>
      </w:r>
    </w:p>
    <w:p w14:paraId="628A8B5D" w14:textId="77777777" w:rsidR="00CA6CAB" w:rsidRPr="00CA6CAB" w:rsidRDefault="00CA6CAB" w:rsidP="00CA6CAB">
      <w:pPr>
        <w:numPr>
          <w:ilvl w:val="0"/>
          <w:numId w:val="1"/>
        </w:numPr>
      </w:pPr>
      <w:r w:rsidRPr="00CA6CAB">
        <w:t>Supply remains constrained.</w:t>
      </w:r>
    </w:p>
    <w:p w14:paraId="7811477F" w14:textId="77777777" w:rsidR="00CA6CAB" w:rsidRPr="00CA6CAB" w:rsidRDefault="00CA6CAB" w:rsidP="00CA6CAB">
      <w:pPr>
        <w:numPr>
          <w:ilvl w:val="0"/>
          <w:numId w:val="1"/>
        </w:numPr>
      </w:pPr>
      <w:r w:rsidRPr="00CA6CAB">
        <w:t>Memory prices and margins do not decline significantly before new capacity comes online.</w:t>
      </w:r>
    </w:p>
    <w:p w14:paraId="49F0D5BD" w14:textId="77777777" w:rsidR="00CA6CAB" w:rsidRPr="00CA6CAB" w:rsidRDefault="00CA6CAB" w:rsidP="00CA6CAB">
      <w:r w:rsidRPr="00CA6CAB">
        <w:t xml:space="preserve">For me, the key question is not simply whether Micron's earnings are high today. </w:t>
      </w:r>
    </w:p>
    <w:p w14:paraId="37447E37" w14:textId="77777777" w:rsidR="00CA6CAB" w:rsidRPr="00CA6CAB" w:rsidRDefault="00CA6CAB" w:rsidP="00CA6CAB">
      <w:r w:rsidRPr="00CA6CAB">
        <w:t xml:space="preserve">It is whether the current earnings cycle is closer to the beginning of a structural AI-driven memory cycle than to the end of a traditional semiconductor cycle. </w:t>
      </w:r>
    </w:p>
    <w:p w14:paraId="59AAD38E" w14:textId="77777777" w:rsidR="00CA6CAB" w:rsidRPr="00CA6CAB" w:rsidRDefault="00CA6CAB" w:rsidP="00CA6CAB">
      <w:r w:rsidRPr="00CA6CAB">
        <w:t>That is the thesis behind my long position in $MU.</w:t>
      </w:r>
    </w:p>
    <w:p w14:paraId="063EB5E6" w14:textId="77777777" w:rsidR="00612F02" w:rsidRDefault="00612F02"/>
    <w:sectPr w:rsidR="00612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73C7F"/>
    <w:multiLevelType w:val="multilevel"/>
    <w:tmpl w:val="0C1A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876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CB"/>
    <w:rsid w:val="001241B8"/>
    <w:rsid w:val="00612F02"/>
    <w:rsid w:val="0075243C"/>
    <w:rsid w:val="00CA6CAB"/>
    <w:rsid w:val="00D4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83A57"/>
  <w15:chartTrackingRefBased/>
  <w15:docId w15:val="{97B07C3D-E529-437C-BDA6-0D856148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3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3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3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3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3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3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3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3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3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3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3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3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39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39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39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39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39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39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3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3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3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3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3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39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39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39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3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39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3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804</Words>
  <Characters>4585</Characters>
  <Application>Microsoft Office Word</Application>
  <DocSecurity>0</DocSecurity>
  <Lines>38</Lines>
  <Paragraphs>10</Paragraphs>
  <ScaleCrop>false</ScaleCrop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Aliaga</dc:creator>
  <cp:keywords/>
  <dc:description/>
  <cp:lastModifiedBy>Xavier Aliaga</cp:lastModifiedBy>
  <cp:revision>2</cp:revision>
  <dcterms:created xsi:type="dcterms:W3CDTF">2026-09-22T15:26:00Z</dcterms:created>
  <dcterms:modified xsi:type="dcterms:W3CDTF">2026-09-22T15:26:00Z</dcterms:modified>
</cp:coreProperties>
</file>