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BF71" w14:textId="77777777" w:rsidR="00680716" w:rsidRDefault="00680716"/>
    <w:p w14:paraId="15B72B12" w14:textId="77777777" w:rsidR="00680716" w:rsidRDefault="00680716"/>
    <w:p w14:paraId="2EFBFCED" w14:textId="77777777" w:rsidR="00680716" w:rsidRDefault="00680716"/>
    <w:p w14:paraId="1422CA18" w14:textId="77777777" w:rsidR="00680716" w:rsidRDefault="00680716"/>
    <w:p w14:paraId="15AFC4D3" w14:textId="77777777" w:rsidR="00680716" w:rsidRDefault="00000000">
      <w:pPr>
        <w:jc w:val="center"/>
      </w:pPr>
      <w:r>
        <w:rPr>
          <w:b/>
          <w:color w:val="333333"/>
          <w:sz w:val="30"/>
        </w:rPr>
        <w:t>ROSNEFT OIL COMPANY (PJSC · MOEX: ROSN)</w:t>
      </w:r>
    </w:p>
    <w:p w14:paraId="131E9EC8" w14:textId="77777777" w:rsidR="00680716" w:rsidRDefault="00000000">
      <w:pPr>
        <w:jc w:val="center"/>
      </w:pPr>
      <w:r>
        <w:rPr>
          <w:b/>
          <w:color w:val="000000"/>
          <w:sz w:val="60"/>
        </w:rPr>
        <w:t>Fundamental Analysis &amp; Valuation Report</w:t>
      </w:r>
    </w:p>
    <w:p w14:paraId="18BE271D" w14:textId="77777777" w:rsidR="00680716" w:rsidRDefault="00000000">
      <w:pPr>
        <w:jc w:val="center"/>
      </w:pPr>
      <w:r>
        <w:rPr>
          <w:i/>
          <w:color w:val="595959"/>
          <w:sz w:val="26"/>
        </w:rPr>
        <w:t>Financial Statements · DCF Model · Geopolitical Risk and Oil Price Dependency</w:t>
      </w:r>
    </w:p>
    <w:p w14:paraId="51EF4FD0" w14:textId="77777777" w:rsidR="00680716" w:rsidRDefault="00680716"/>
    <w:p w14:paraId="64D5B4F4" w14:textId="77777777" w:rsidR="00680716" w:rsidRDefault="00680716"/>
    <w:p w14:paraId="758BDF09" w14:textId="77777777" w:rsidR="00680716" w:rsidRDefault="00680716"/>
    <w:p w14:paraId="11F859C7" w14:textId="77777777" w:rsidR="00680716" w:rsidRDefault="00680716"/>
    <w:p w14:paraId="7F98E45B" w14:textId="77777777" w:rsidR="00680716" w:rsidRDefault="00680716"/>
    <w:p w14:paraId="277D78B0" w14:textId="77777777" w:rsidR="00680716" w:rsidRDefault="00680716"/>
    <w:p w14:paraId="138BB4B5" w14:textId="77777777" w:rsidR="00680716" w:rsidRDefault="00680716">
      <w:pPr>
        <w:pBdr>
          <w:bottom w:val="single" w:sz="6" w:space="1" w:color="000000"/>
        </w:pBdr>
        <w:jc w:val="center"/>
      </w:pPr>
    </w:p>
    <w:p w14:paraId="71A04324" w14:textId="77777777" w:rsidR="00680716" w:rsidRDefault="00680716"/>
    <w:p w14:paraId="2C3CAF8B" w14:textId="77777777" w:rsidR="00680716" w:rsidRDefault="00680716"/>
    <w:p w14:paraId="2F273DE4" w14:textId="77777777" w:rsidR="00680716" w:rsidRDefault="00680716"/>
    <w:tbl>
      <w:tblPr>
        <w:tblW w:w="0" w:type="auto"/>
        <w:jc w:val="center"/>
        <w:tblLayout w:type="fixed"/>
        <w:tblLook w:val="04A0" w:firstRow="1" w:lastRow="0" w:firstColumn="1" w:lastColumn="0" w:noHBand="0" w:noVBand="1"/>
      </w:tblPr>
      <w:tblGrid>
        <w:gridCol w:w="2551"/>
        <w:gridCol w:w="5102"/>
      </w:tblGrid>
      <w:tr w:rsidR="00680716" w14:paraId="372848F4" w14:textId="77777777">
        <w:trPr>
          <w:jc w:val="center"/>
        </w:trPr>
        <w:tc>
          <w:tcPr>
            <w:tcW w:w="2551" w:type="dxa"/>
          </w:tcPr>
          <w:p w14:paraId="0F7E17DE" w14:textId="77777777" w:rsidR="00680716" w:rsidRDefault="00000000">
            <w:r>
              <w:rPr>
                <w:b/>
                <w:color w:val="000000"/>
                <w:sz w:val="21"/>
              </w:rPr>
              <w:t>Sector</w:t>
            </w:r>
          </w:p>
        </w:tc>
        <w:tc>
          <w:tcPr>
            <w:tcW w:w="5102" w:type="dxa"/>
          </w:tcPr>
          <w:p w14:paraId="7366506D" w14:textId="77777777" w:rsidR="00680716" w:rsidRDefault="00000000">
            <w:r>
              <w:rPr>
                <w:color w:val="333333"/>
                <w:sz w:val="21"/>
              </w:rPr>
              <w:t>Energy · Integrated Oil &amp; Gas</w:t>
            </w:r>
          </w:p>
        </w:tc>
      </w:tr>
      <w:tr w:rsidR="00680716" w14:paraId="643E9652" w14:textId="77777777">
        <w:trPr>
          <w:jc w:val="center"/>
        </w:trPr>
        <w:tc>
          <w:tcPr>
            <w:tcW w:w="2551" w:type="dxa"/>
          </w:tcPr>
          <w:p w14:paraId="1F838D16" w14:textId="77777777" w:rsidR="00680716" w:rsidRDefault="00000000">
            <w:r>
              <w:rPr>
                <w:b/>
                <w:color w:val="000000"/>
                <w:sz w:val="21"/>
              </w:rPr>
              <w:t>Market</w:t>
            </w:r>
          </w:p>
        </w:tc>
        <w:tc>
          <w:tcPr>
            <w:tcW w:w="5102" w:type="dxa"/>
          </w:tcPr>
          <w:p w14:paraId="14C853AB" w14:textId="77777777" w:rsidR="00680716" w:rsidRDefault="00000000">
            <w:r>
              <w:rPr>
                <w:color w:val="333333"/>
                <w:sz w:val="21"/>
              </w:rPr>
              <w:t>Russia (MOEX) — coverage affected by international sanctions</w:t>
            </w:r>
          </w:p>
        </w:tc>
      </w:tr>
      <w:tr w:rsidR="00680716" w14:paraId="1794139D" w14:textId="77777777">
        <w:trPr>
          <w:jc w:val="center"/>
        </w:trPr>
        <w:tc>
          <w:tcPr>
            <w:tcW w:w="2551" w:type="dxa"/>
          </w:tcPr>
          <w:p w14:paraId="5019A167" w14:textId="77777777" w:rsidR="00680716" w:rsidRDefault="00000000">
            <w:r>
              <w:rPr>
                <w:b/>
                <w:color w:val="000000"/>
                <w:sz w:val="21"/>
              </w:rPr>
              <w:t>Report type</w:t>
            </w:r>
          </w:p>
        </w:tc>
        <w:tc>
          <w:tcPr>
            <w:tcW w:w="5102" w:type="dxa"/>
          </w:tcPr>
          <w:p w14:paraId="0251CF8D" w14:textId="77777777" w:rsidR="00680716" w:rsidRDefault="00000000">
            <w:r>
              <w:rPr>
                <w:color w:val="333333"/>
                <w:sz w:val="21"/>
              </w:rPr>
              <w:t>Fundamental analysis + Discounted Cash Flow (DCF) valuation</w:t>
            </w:r>
          </w:p>
        </w:tc>
      </w:tr>
      <w:tr w:rsidR="00680716" w14:paraId="3E7682A2" w14:textId="77777777">
        <w:trPr>
          <w:jc w:val="center"/>
        </w:trPr>
        <w:tc>
          <w:tcPr>
            <w:tcW w:w="2551" w:type="dxa"/>
          </w:tcPr>
          <w:p w14:paraId="26C13B24" w14:textId="77777777" w:rsidR="00680716" w:rsidRDefault="00000000">
            <w:r>
              <w:rPr>
                <w:b/>
                <w:color w:val="000000"/>
                <w:sz w:val="21"/>
              </w:rPr>
              <w:t>Report date</w:t>
            </w:r>
          </w:p>
        </w:tc>
        <w:tc>
          <w:tcPr>
            <w:tcW w:w="5102" w:type="dxa"/>
          </w:tcPr>
          <w:p w14:paraId="5E069B09" w14:textId="77777777" w:rsidR="00680716" w:rsidRDefault="00000000">
            <w:r>
              <w:rPr>
                <w:color w:val="333333"/>
                <w:sz w:val="21"/>
              </w:rPr>
              <w:t>September 2026</w:t>
            </w:r>
          </w:p>
        </w:tc>
      </w:tr>
      <w:tr w:rsidR="00680716" w14:paraId="484DD791" w14:textId="77777777">
        <w:trPr>
          <w:jc w:val="center"/>
        </w:trPr>
        <w:tc>
          <w:tcPr>
            <w:tcW w:w="2551" w:type="dxa"/>
          </w:tcPr>
          <w:p w14:paraId="637E5CF0" w14:textId="77777777" w:rsidR="00680716" w:rsidRDefault="00000000">
            <w:r>
              <w:rPr>
                <w:b/>
                <w:color w:val="000000"/>
                <w:sz w:val="21"/>
              </w:rPr>
              <w:t>Prepared by</w:t>
            </w:r>
          </w:p>
        </w:tc>
        <w:tc>
          <w:tcPr>
            <w:tcW w:w="5102" w:type="dxa"/>
          </w:tcPr>
          <w:p w14:paraId="01C04619" w14:textId="77777777" w:rsidR="00680716" w:rsidRDefault="00000000">
            <w:r>
              <w:rPr>
                <w:color w:val="333333"/>
                <w:sz w:val="21"/>
              </w:rPr>
              <w:t>Marc Aliaga</w:t>
            </w:r>
          </w:p>
        </w:tc>
      </w:tr>
      <w:tr w:rsidR="00680716" w14:paraId="58AC365B" w14:textId="77777777">
        <w:trPr>
          <w:jc w:val="center"/>
        </w:trPr>
        <w:tc>
          <w:tcPr>
            <w:tcW w:w="2551" w:type="dxa"/>
          </w:tcPr>
          <w:p w14:paraId="6D53AF24" w14:textId="77777777" w:rsidR="00680716" w:rsidRDefault="00000000">
            <w:r>
              <w:rPr>
                <w:b/>
                <w:color w:val="000000"/>
                <w:sz w:val="21"/>
              </w:rPr>
              <w:t>Classification</w:t>
            </w:r>
          </w:p>
        </w:tc>
        <w:tc>
          <w:tcPr>
            <w:tcW w:w="5102" w:type="dxa"/>
          </w:tcPr>
          <w:p w14:paraId="3E72E446" w14:textId="77777777" w:rsidR="00680716" w:rsidRDefault="00000000">
            <w:r>
              <w:rPr>
                <w:color w:val="333333"/>
                <w:sz w:val="21"/>
              </w:rPr>
              <w:t>Equity Research — Personal Publication</w:t>
            </w:r>
          </w:p>
        </w:tc>
      </w:tr>
    </w:tbl>
    <w:p w14:paraId="61AE3499" w14:textId="77777777" w:rsidR="00680716" w:rsidRDefault="00000000">
      <w:r>
        <w:br w:type="page"/>
      </w:r>
    </w:p>
    <w:p w14:paraId="7324AEDD" w14:textId="77777777" w:rsidR="00680716" w:rsidRDefault="00000000">
      <w:pPr>
        <w:pStyle w:val="Ttulo1"/>
      </w:pPr>
      <w:r>
        <w:lastRenderedPageBreak/>
        <w:t>Table of Contents</w:t>
      </w:r>
    </w:p>
    <w:p w14:paraId="615559F5" w14:textId="77777777" w:rsidR="00680716" w:rsidRDefault="00000000">
      <w:r>
        <w:fldChar w:fldCharType="begin"/>
      </w:r>
      <w:r>
        <w:instrText>TOC \o "1-3" \h \z \u</w:instrText>
      </w:r>
      <w:r>
        <w:fldChar w:fldCharType="separate"/>
      </w:r>
      <w:r>
        <w:t>Right-click and select 'Update Field' to generate the table of contents.</w:t>
      </w:r>
      <w:r>
        <w:fldChar w:fldCharType="end"/>
      </w:r>
    </w:p>
    <w:p w14:paraId="2268E7A5" w14:textId="77777777" w:rsidR="00680716" w:rsidRDefault="00000000">
      <w:r>
        <w:rPr>
          <w:i/>
          <w:color w:val="8C8C8C"/>
          <w:sz w:val="20"/>
        </w:rPr>
        <w:t>Note: in Word, right-click the table of contents → "Update Field" → "Update entire table" once the document is complete.</w:t>
      </w:r>
    </w:p>
    <w:p w14:paraId="2D8B5E0A" w14:textId="77777777" w:rsidR="00680716" w:rsidRDefault="00000000">
      <w:r>
        <w:br w:type="page"/>
      </w:r>
    </w:p>
    <w:p w14:paraId="56A368D8" w14:textId="77777777" w:rsidR="00680716" w:rsidRDefault="00000000">
      <w:pPr>
        <w:pStyle w:val="Ttulo1"/>
      </w:pPr>
      <w:r>
        <w:lastRenderedPageBreak/>
        <w:t>1. Executive Summary</w:t>
      </w:r>
    </w:p>
    <w:p w14:paraId="55F9FDAF" w14:textId="77777777" w:rsidR="00680716" w:rsidRDefault="00000000">
      <w:r>
        <w:rPr>
          <w:i/>
          <w:color w:val="8C8C8C"/>
          <w:sz w:val="20"/>
        </w:rPr>
        <w:t>Section to be completed once the analysis is finalized. It should summarize the investment thesis, the valuation range and the key risks in a single page, readable independently of the rest of the report.</w:t>
      </w:r>
    </w:p>
    <w:p w14:paraId="72860CE5" w14:textId="77777777" w:rsidR="00680716" w:rsidRDefault="00000000">
      <w:pPr>
        <w:pStyle w:val="Listaconvietas"/>
        <w:ind w:left="567"/>
      </w:pPr>
      <w:r>
        <w:rPr>
          <w:color w:val="333333"/>
          <w:sz w:val="21"/>
        </w:rPr>
        <w:t>Investment thesis (1-2 paragraphs): overview of Rosneft and the rationale behind the recommendation.</w:t>
      </w:r>
    </w:p>
    <w:p w14:paraId="1BA9A3BB" w14:textId="77777777" w:rsidR="00680716" w:rsidRDefault="00000000">
      <w:pPr>
        <w:pStyle w:val="Listaconvietas"/>
        <w:ind w:left="567"/>
      </w:pPr>
      <w:r>
        <w:rPr>
          <w:color w:val="333333"/>
          <w:sz w:val="21"/>
        </w:rPr>
        <w:t>DCF valuation range (target price) versus current market price and implied upside/downside.</w:t>
      </w:r>
    </w:p>
    <w:p w14:paraId="55FAFE32" w14:textId="77777777" w:rsidR="00680716" w:rsidRDefault="00000000">
      <w:pPr>
        <w:pStyle w:val="Listaconvietas"/>
        <w:ind w:left="567"/>
      </w:pPr>
      <w:r>
        <w:rPr>
          <w:color w:val="333333"/>
          <w:sz w:val="21"/>
        </w:rPr>
        <w:t>Key catalysts: new projects, oil price evolution, sanctions developments.</w:t>
      </w:r>
    </w:p>
    <w:p w14:paraId="18F6A606" w14:textId="77777777" w:rsidR="00680716" w:rsidRDefault="00000000">
      <w:pPr>
        <w:pStyle w:val="Listaconvietas"/>
        <w:ind w:left="567"/>
      </w:pPr>
      <w:r>
        <w:rPr>
          <w:color w:val="333333"/>
          <w:sz w:val="21"/>
        </w:rPr>
        <w:t>Key risks: geopolitical, regulatory, currency and access-to-financing risks.</w:t>
      </w:r>
    </w:p>
    <w:p w14:paraId="494BF032" w14:textId="77777777" w:rsidR="00680716" w:rsidRDefault="00000000">
      <w:pPr>
        <w:pStyle w:val="Listaconvietas"/>
        <w:ind w:left="567"/>
      </w:pPr>
      <w:r>
        <w:rPr>
          <w:color w:val="333333"/>
          <w:sz w:val="21"/>
        </w:rPr>
        <w:t>Final recommendation (Buy / Hold / Sell) summarized in a table.</w:t>
      </w:r>
    </w:p>
    <w:tbl>
      <w:tblPr>
        <w:tblStyle w:val="Tablaconcuadrcula"/>
        <w:tblW w:w="0" w:type="auto"/>
        <w:jc w:val="center"/>
        <w:tblLook w:val="04A0" w:firstRow="1" w:lastRow="0" w:firstColumn="1" w:lastColumn="0" w:noHBand="0" w:noVBand="1"/>
      </w:tblPr>
      <w:tblGrid>
        <w:gridCol w:w="4703"/>
        <w:gridCol w:w="4703"/>
      </w:tblGrid>
      <w:tr w:rsidR="00680716" w14:paraId="5917B8FF" w14:textId="77777777">
        <w:trPr>
          <w:jc w:val="center"/>
        </w:trPr>
        <w:tc>
          <w:tcPr>
            <w:tcW w:w="4703" w:type="dxa"/>
            <w:shd w:val="clear" w:color="auto" w:fill="333333"/>
          </w:tcPr>
          <w:p w14:paraId="014A9AF7" w14:textId="77777777" w:rsidR="00680716" w:rsidRDefault="00000000">
            <w:r>
              <w:rPr>
                <w:b/>
                <w:color w:val="FFFFFF"/>
                <w:sz w:val="19"/>
              </w:rPr>
              <w:t>Metric</w:t>
            </w:r>
          </w:p>
        </w:tc>
        <w:tc>
          <w:tcPr>
            <w:tcW w:w="4703" w:type="dxa"/>
            <w:shd w:val="clear" w:color="auto" w:fill="333333"/>
          </w:tcPr>
          <w:p w14:paraId="26279F51" w14:textId="77777777" w:rsidR="00680716" w:rsidRDefault="00000000">
            <w:r>
              <w:rPr>
                <w:b/>
                <w:color w:val="FFFFFF"/>
                <w:sz w:val="19"/>
              </w:rPr>
              <w:t>Value</w:t>
            </w:r>
          </w:p>
        </w:tc>
      </w:tr>
      <w:tr w:rsidR="00680716" w14:paraId="2934A76A" w14:textId="77777777">
        <w:trPr>
          <w:jc w:val="center"/>
        </w:trPr>
        <w:tc>
          <w:tcPr>
            <w:tcW w:w="4703" w:type="dxa"/>
          </w:tcPr>
          <w:p w14:paraId="7E20FA6B" w14:textId="77777777" w:rsidR="00680716" w:rsidRDefault="00000000">
            <w:r>
              <w:rPr>
                <w:i/>
                <w:color w:val="8C8C8C"/>
                <w:sz w:val="19"/>
              </w:rPr>
              <w:t>[to be completed]</w:t>
            </w:r>
          </w:p>
        </w:tc>
        <w:tc>
          <w:tcPr>
            <w:tcW w:w="4703" w:type="dxa"/>
          </w:tcPr>
          <w:p w14:paraId="5233D30E" w14:textId="77777777" w:rsidR="00680716" w:rsidRDefault="00680716"/>
        </w:tc>
      </w:tr>
      <w:tr w:rsidR="00680716" w14:paraId="0874C9BB" w14:textId="77777777">
        <w:trPr>
          <w:jc w:val="center"/>
        </w:trPr>
        <w:tc>
          <w:tcPr>
            <w:tcW w:w="4703" w:type="dxa"/>
          </w:tcPr>
          <w:p w14:paraId="6407537D" w14:textId="77777777" w:rsidR="00680716" w:rsidRDefault="00680716"/>
        </w:tc>
        <w:tc>
          <w:tcPr>
            <w:tcW w:w="4703" w:type="dxa"/>
          </w:tcPr>
          <w:p w14:paraId="081AD547" w14:textId="77777777" w:rsidR="00680716" w:rsidRDefault="00680716"/>
        </w:tc>
      </w:tr>
      <w:tr w:rsidR="00680716" w14:paraId="4DBEBC31" w14:textId="77777777">
        <w:trPr>
          <w:jc w:val="center"/>
        </w:trPr>
        <w:tc>
          <w:tcPr>
            <w:tcW w:w="4703" w:type="dxa"/>
          </w:tcPr>
          <w:p w14:paraId="036BC29C" w14:textId="77777777" w:rsidR="00680716" w:rsidRDefault="00680716"/>
        </w:tc>
        <w:tc>
          <w:tcPr>
            <w:tcW w:w="4703" w:type="dxa"/>
          </w:tcPr>
          <w:p w14:paraId="58158C93" w14:textId="77777777" w:rsidR="00680716" w:rsidRDefault="00680716"/>
        </w:tc>
      </w:tr>
      <w:tr w:rsidR="00680716" w14:paraId="12ACFAFA" w14:textId="77777777">
        <w:trPr>
          <w:jc w:val="center"/>
        </w:trPr>
        <w:tc>
          <w:tcPr>
            <w:tcW w:w="4703" w:type="dxa"/>
          </w:tcPr>
          <w:p w14:paraId="29468702" w14:textId="77777777" w:rsidR="00680716" w:rsidRDefault="00680716"/>
        </w:tc>
        <w:tc>
          <w:tcPr>
            <w:tcW w:w="4703" w:type="dxa"/>
          </w:tcPr>
          <w:p w14:paraId="11B61E16" w14:textId="77777777" w:rsidR="00680716" w:rsidRDefault="00680716"/>
        </w:tc>
      </w:tr>
      <w:tr w:rsidR="00680716" w14:paraId="3B496123" w14:textId="77777777">
        <w:trPr>
          <w:jc w:val="center"/>
        </w:trPr>
        <w:tc>
          <w:tcPr>
            <w:tcW w:w="4703" w:type="dxa"/>
          </w:tcPr>
          <w:p w14:paraId="1124F927" w14:textId="77777777" w:rsidR="00680716" w:rsidRDefault="00680716"/>
        </w:tc>
        <w:tc>
          <w:tcPr>
            <w:tcW w:w="4703" w:type="dxa"/>
          </w:tcPr>
          <w:p w14:paraId="527706B6" w14:textId="77777777" w:rsidR="00680716" w:rsidRDefault="00680716"/>
        </w:tc>
      </w:tr>
    </w:tbl>
    <w:p w14:paraId="09206092" w14:textId="77777777" w:rsidR="00680716" w:rsidRDefault="00000000">
      <w:r>
        <w:rPr>
          <w:i/>
          <w:color w:val="8C8C8C"/>
          <w:sz w:val="17"/>
        </w:rPr>
        <w:t>Summary table to be completed: Target price, Current price, Upside (%), Recommendation, Time horizon.</w:t>
      </w:r>
    </w:p>
    <w:p w14:paraId="3A25873F" w14:textId="77777777" w:rsidR="00680716" w:rsidRDefault="00680716"/>
    <w:p w14:paraId="4CC25D4B" w14:textId="77777777" w:rsidR="00680716" w:rsidRDefault="00000000">
      <w:pPr>
        <w:pStyle w:val="Ttulo1"/>
      </w:pPr>
      <w:r>
        <w:t>2. Company Profile</w:t>
      </w:r>
    </w:p>
    <w:p w14:paraId="5781E52E" w14:textId="77777777" w:rsidR="00680716" w:rsidRDefault="00000000">
      <w:pPr>
        <w:pStyle w:val="Ttulo2"/>
      </w:pPr>
      <w:r>
        <w:t>2.1 Business description and operating segments</w:t>
      </w:r>
    </w:p>
    <w:p w14:paraId="2D41F4DF" w14:textId="77777777" w:rsidR="00680716" w:rsidRDefault="00000000">
      <w:r>
        <w:rPr>
          <w:i/>
          <w:color w:val="8C8C8C"/>
          <w:sz w:val="20"/>
        </w:rPr>
        <w:t>Describe the integrated business model (upstream, downstream, midstream), main production and refining assets, and the relative weight of each segment in revenue/EBITDA.</w:t>
      </w:r>
    </w:p>
    <w:p w14:paraId="565BDCB6" w14:textId="77777777" w:rsidR="00680716" w:rsidRDefault="00000000">
      <w:pPr>
        <w:pStyle w:val="Ttulo2"/>
      </w:pPr>
      <w:r>
        <w:t>2.2 Ownership structure and corporate governance</w:t>
      </w:r>
    </w:p>
    <w:p w14:paraId="1D2F19D2" w14:textId="77777777" w:rsidR="00680716" w:rsidRDefault="00000000">
      <w:r>
        <w:rPr>
          <w:i/>
          <w:color w:val="8C8C8C"/>
          <w:sz w:val="20"/>
        </w:rPr>
        <w:t>Main shareholders (Rosneftegaz/Russian State, historical BP stake, Qatar Investment Authority, free float), board structure and governance factors relevant to equity risk.</w:t>
      </w:r>
    </w:p>
    <w:p w14:paraId="32FE4FC0" w14:textId="77777777" w:rsidR="00680716" w:rsidRDefault="00000000">
      <w:pPr>
        <w:pStyle w:val="Ttulo2"/>
      </w:pPr>
      <w:r>
        <w:t>2.3 Competitive positioning</w:t>
      </w:r>
    </w:p>
    <w:p w14:paraId="61465702" w14:textId="77777777" w:rsidR="00680716" w:rsidRDefault="00000000">
      <w:r>
        <w:rPr>
          <w:i/>
          <w:color w:val="8C8C8C"/>
          <w:sz w:val="20"/>
        </w:rPr>
        <w:t>Comparison against other Russian oil companies (Lukoil, Gazprom Neft, Surgutneftegas) and international majors, in terms of reserves, daily production (boe/d) and extraction cost.</w:t>
      </w:r>
    </w:p>
    <w:p w14:paraId="6284D4E5" w14:textId="77777777" w:rsidR="00680716" w:rsidRDefault="00000000">
      <w:pPr>
        <w:pStyle w:val="Ttulo1"/>
      </w:pPr>
      <w:r>
        <w:lastRenderedPageBreak/>
        <w:t>3. Macroeconomic and Geopolitical Environment</w:t>
      </w:r>
    </w:p>
    <w:p w14:paraId="1CE847FC" w14:textId="77777777" w:rsidR="00680716" w:rsidRDefault="00000000">
      <w:pPr>
        <w:spacing w:after="160"/>
        <w:jc w:val="both"/>
      </w:pPr>
      <w:r>
        <w:t>Rosneft’s operating and financial performance cannot be read in isolation from the sanctions regime and oil-market dynamics that have reshaped Russia’s energy sector since 2022. The escalation that followed the October 2025 designation of Rosneft as a Specially Designated National (SDN) by the U.S. Treasury marks a structural break from the sectoral, financing-focused sanctions of 2014-2022: for the first time, Rosneft itself — not only its debt and equity issuance — has been placed under a full blocking regime. The sections below trace this escalation, its transmission through the Urals-Brent discount, the Russian fiscal system and the ruble, and quantify its effect on the results analyzed in Section 4.</w:t>
      </w:r>
    </w:p>
    <w:p w14:paraId="161E4C84" w14:textId="77777777" w:rsidR="00680716" w:rsidRDefault="00000000">
      <w:pPr>
        <w:pStyle w:val="Ttulo2"/>
      </w:pPr>
      <w:r>
        <w:t>3.1 International sanctions (EU, US, G7, UK)</w:t>
      </w:r>
    </w:p>
    <w:p w14:paraId="236A1FBF" w14:textId="77777777" w:rsidR="00680716" w:rsidRDefault="00000000">
      <w:pPr>
        <w:pStyle w:val="Listaconvietas"/>
        <w:ind w:left="567"/>
      </w:pPr>
      <w:r>
        <w:rPr>
          <w:color w:val="333333"/>
          <w:sz w:val="21"/>
        </w:rPr>
        <w:t>October 2025 marks the sharpest escalation to date: the United Kingdom designated Rosneft, Lukoil and Nayara Energy (Rosneft’s 49.13%-owned Indian refiner) on 15 October 2025, and the U.S. Treasury’s OFAC followed on 22 October 2025, adding Rosneft, Lukoil and 34 subsidiaries to its Specially Designated Nationals (SDN) list under Executive Order 14024 — the first direct U.S. blocking sanctions on Rosneft itself. A wind-down period for existing contracts ran until 21 November 2025.</w:t>
      </w:r>
    </w:p>
    <w:p w14:paraId="3950BA47" w14:textId="77777777" w:rsidR="00680716" w:rsidRDefault="00000000">
      <w:pPr>
        <w:pStyle w:val="Listaconvietas"/>
        <w:ind w:left="567"/>
      </w:pPr>
      <w:r>
        <w:rPr>
          <w:color w:val="333333"/>
          <w:sz w:val="21"/>
        </w:rPr>
        <w:t>The EU’s 18th sanctions package (July 2025) added Nayara Energy over its Rosneft ownership and reliance on Russian crude feedstock; the 19th and 20th packages (autumn 2025-winter 2026) tightened the oil price cap and introduced a ban on EU imports of Russian LNG effective 25 April 2026.</w:t>
      </w:r>
    </w:p>
    <w:p w14:paraId="6907121A" w14:textId="77777777" w:rsidR="00680716" w:rsidRDefault="00000000">
      <w:pPr>
        <w:pStyle w:val="Listaconvietas"/>
        <w:ind w:left="567"/>
      </w:pPr>
      <w:r>
        <w:rPr>
          <w:color w:val="333333"/>
          <w:sz w:val="21"/>
        </w:rPr>
        <w:t>The G7/EU/UK price cap coalition has progressively lowered the cap on seaborne Russian crude — to $47.60/bbl in September 2025, and, under the EU’s new automatic adjustment mechanism, to $44.10/bbl effective 1 February 2026 (UK aligned from 31 January 2026) — mechanically tightening the ceiling as global benchmark prices moved.</w:t>
      </w:r>
    </w:p>
    <w:p w14:paraId="4F4E6741" w14:textId="77777777" w:rsidR="00680716" w:rsidRDefault="00000000">
      <w:pPr>
        <w:pStyle w:val="Listaconvietas"/>
        <w:ind w:left="567"/>
      </w:pPr>
      <w:r>
        <w:rPr>
          <w:color w:val="333333"/>
          <w:sz w:val="21"/>
        </w:rPr>
        <w:t>Enforcement has directly hit Rosneft’s customer base: around the November 2025 wind-down deadline, Indian refiners Reliance Industries, Bharat Petroleum, HPCL and MRPL paused purchases of Rosneft-linked crude, while Chinese state refiners Sinopec and PetroChina suspended direct buying — Kpler estimated the resulting "buyer strike" affected roughly 45% of Russian crude exports to China before volumes partly resumed through non-sanctioned intermediaries.</w:t>
      </w:r>
    </w:p>
    <w:p w14:paraId="0DDC1377" w14:textId="77777777" w:rsidR="00680716" w:rsidRDefault="00000000">
      <w:pPr>
        <w:pStyle w:val="Ttulo2"/>
      </w:pPr>
      <w:r>
        <w:t>3.2 Global oil market and the Urals-Brent spread</w:t>
      </w:r>
    </w:p>
    <w:p w14:paraId="4EE37074" w14:textId="77777777" w:rsidR="00680716" w:rsidRDefault="00000000">
      <w:pPr>
        <w:pStyle w:val="Listaconvietas"/>
        <w:ind w:left="567"/>
      </w:pPr>
      <w:r>
        <w:rPr>
          <w:color w:val="333333"/>
          <w:sz w:val="21"/>
        </w:rPr>
        <w:t>OPEC+ (Russia included) kept group output broadly unchanged through the first half of 2026, adopting a capacity-based quota system for 2027 and pausing increments in Q1 2026 on seasonal grounds; Russia’s own compliance reporting is increasingly opaque, as sanctions have rerouted volumes onto longer, harder-to-track voyages to Asia.</w:t>
      </w:r>
    </w:p>
    <w:p w14:paraId="065E0323" w14:textId="77777777" w:rsidR="00680716" w:rsidRDefault="00000000">
      <w:pPr>
        <w:pStyle w:val="Listaconvietas"/>
        <w:ind w:left="567"/>
      </w:pPr>
      <w:r>
        <w:rPr>
          <w:color w:val="333333"/>
          <w:sz w:val="21"/>
        </w:rPr>
        <w:t>The Urals discount to Brent has re-widened since the October 2025 sanctions: Urals FOB Primorsk was trading roughly $28/bbl below Brent in early 2026, versus a narrower ~$10/bbl-equivalent discount on cargoes landed in India, as the loss of mainstream tanker and insurance capacity pushed more volume onto the sanctioned "shadow fleet" and lengthened voyage times.</w:t>
      </w:r>
    </w:p>
    <w:p w14:paraId="5FAB05E4" w14:textId="77777777" w:rsidR="00680716" w:rsidRDefault="00000000">
      <w:pPr>
        <w:pStyle w:val="Listaconvietas"/>
        <w:ind w:left="567"/>
      </w:pPr>
      <w:r>
        <w:rPr>
          <w:color w:val="333333"/>
          <w:sz w:val="21"/>
        </w:rPr>
        <w:t xml:space="preserve">The shadow fleet — from roughly 100 vessels in March 2022 to an estimated 350 by 2025 — has been central to sustaining Russian export volumes despite the price cap, but has itself become a </w:t>
      </w:r>
      <w:r>
        <w:rPr>
          <w:color w:val="333333"/>
          <w:sz w:val="21"/>
        </w:rPr>
        <w:lastRenderedPageBreak/>
        <w:t>direct sanctions target (UK, EU and US vessel-specific designations, and reported Ukrainian strikes on tankers and port infrastructure), adding freight, insurance and delay costs that widen the effective discount Rosneft realizes versus headline Brent.</w:t>
      </w:r>
    </w:p>
    <w:p w14:paraId="3F0DF42A" w14:textId="77777777" w:rsidR="00680716" w:rsidRDefault="00000000">
      <w:pPr>
        <w:pStyle w:val="Listaconvietas"/>
        <w:ind w:left="567"/>
      </w:pPr>
      <w:r>
        <w:rPr>
          <w:color w:val="333333"/>
          <w:sz w:val="21"/>
        </w:rPr>
        <w:t>With Brent trading in roughly the $90-106/bbl range through mid-to-late 2026, the gap between the benchmark price used in market commentary and the price Rosneft actually realizes on its export barrel remains the single largest driver of revenue volatility to model explicitly in Sections 6-7, rather than proxying Rosneft’s realized price with Brent alone.</w:t>
      </w:r>
    </w:p>
    <w:p w14:paraId="155CBE29" w14:textId="77777777" w:rsidR="00680716" w:rsidRDefault="00000000">
      <w:pPr>
        <w:pStyle w:val="Ttulo2"/>
      </w:pPr>
      <w:r>
        <w:t>3.3 Fiscal framework and relationship with the Russian State</w:t>
      </w:r>
    </w:p>
    <w:p w14:paraId="21F7E8A3" w14:textId="77777777" w:rsidR="00680716" w:rsidRDefault="00000000">
      <w:pPr>
        <w:spacing w:after="160"/>
        <w:jc w:val="both"/>
      </w:pPr>
      <w:r>
        <w:t>Russia’s upstream tax take is dominated by the mineral extraction tax (MET), progressively redesigned since 2022 to substitute for the export duties phased out between 2019 and 2024 — keeping the overall burden roughly stable while linking it more tightly to realized commodity prices. This design means MET receipts, and therefore the wedge between Rosneft’s gross revenue and its after-tax cash flow, move mechanically with the Urals price and the RUB/USD rate used for tax purposes, independent of company-specific cost control. The Ministry of Finance has also floated a windfall profits tax for 2025, calculated on profits exceeding the 2018-2019 average — a mechanism analogous to the one-off levies collected on 2021-2022 profits — that would apply directly to Rosneft’s after-tax result if legislated.</w:t>
      </w:r>
    </w:p>
    <w:p w14:paraId="3EA48277" w14:textId="77777777" w:rsidR="00680716" w:rsidRDefault="00000000">
      <w:pPr>
        <w:spacing w:after="160"/>
        <w:jc w:val="both"/>
      </w:pPr>
      <w:r>
        <w:t>The strain on the federal budget is a relevant forward indicator for this framework: oil and gas revenue fell roughly 38-45% year-on-year in the first months of 2026, and the federal deficit had already exceeded its full-year target within three months, a combination of a stronger ruble, a wider Urals discount and lower average global prices. Historically, comparable revenue shortfalls have preceded further tax-rate or MET-formula adjustments on Russian oil majors, which should be treated as a live risk to Rosneft’s effective tax rate in the projection period rather than held constant at historical averages.</w:t>
      </w:r>
    </w:p>
    <w:p w14:paraId="482DF37C" w14:textId="77777777" w:rsidR="00680716" w:rsidRDefault="00000000">
      <w:pPr>
        <w:pStyle w:val="Ttulo2"/>
      </w:pPr>
      <w:r>
        <w:t>3.4 Currency risk (RUB) and capital controls</w:t>
      </w:r>
    </w:p>
    <w:p w14:paraId="25E2B73D" w14:textId="77777777" w:rsidR="00680716" w:rsidRDefault="00000000">
      <w:pPr>
        <w:spacing w:after="160"/>
        <w:jc w:val="both"/>
      </w:pPr>
      <w:r>
        <w:t>The ruble has moved in the opposite direction to what sanctions logic would suggest: after depreciating to roughly RUB 113/USD in early 2025, it appreciated around 45% over the year to close near RUB 78/USD by December 2025, and strengthened further into 2026, helped by capital controls (mandatory conversion of a share of export FX revenue, central-bank approval requirements for cross-border capital movements) and compressed import demand. For Rosneft, whose costs and taxes are substantially ruble-denominated while export revenue is priced in hard currency at the point of sale, a stronger ruble compresses RUB-reported revenue and margins even at a stable or rising dollar oil price — the opposite of the currency tailwind Russian exporters enjoyed in 2022-2023.</w:t>
      </w:r>
    </w:p>
    <w:p w14:paraId="059C54D0" w14:textId="77777777" w:rsidR="00680716" w:rsidRDefault="00000000">
      <w:pPr>
        <w:spacing w:after="160"/>
        <w:jc w:val="both"/>
      </w:pPr>
      <w:r>
        <w:t>The October 2025 SDN designation added a further complication: it pushed Rosneft to repatriate hard-currency reserves into ruble-denominated domestic accounts to reduce exposure to blocking risk, and Indian counterparties (including Nayara Energy) have had to route crude payments through non-sanctioned domestic banks after the State Bank of India suspended related trade-finance transactions — illustrating how capital controls and sanctions now interact to constrain where, and in what currency, Rosneft’s cash can actually be held and moved.</w:t>
      </w:r>
    </w:p>
    <w:p w14:paraId="596E6523" w14:textId="77777777" w:rsidR="00680716" w:rsidRDefault="00000000">
      <w:pPr>
        <w:pStyle w:val="Ttulo2"/>
      </w:pPr>
      <w:r>
        <w:lastRenderedPageBreak/>
        <w:t>3.5 Quantifying the impact on results</w:t>
      </w:r>
    </w:p>
    <w:p w14:paraId="7B2AC4AE" w14:textId="77777777" w:rsidR="00680716" w:rsidRDefault="00000000">
      <w:pPr>
        <w:spacing w:after="200"/>
      </w:pPr>
      <w:r>
        <w:rPr>
          <w:sz w:val="20"/>
        </w:rPr>
        <w:t>The table below cross-references the main geopolitical and sanctions milestones since 2022 with their estimated transmission channel into Rosneft’s revenue and margins; Section 4 traces how these effects actually show up in the reported 2022-2026 H1 figures.</w:t>
      </w:r>
    </w:p>
    <w:tbl>
      <w:tblPr>
        <w:tblStyle w:val="Tablaconcuadrcula"/>
        <w:tblW w:w="0" w:type="auto"/>
        <w:jc w:val="center"/>
        <w:tblLook w:val="04A0" w:firstRow="1" w:lastRow="0" w:firstColumn="1" w:lastColumn="0" w:noHBand="0" w:noVBand="1"/>
      </w:tblPr>
      <w:tblGrid>
        <w:gridCol w:w="1474"/>
        <w:gridCol w:w="3402"/>
        <w:gridCol w:w="3912"/>
      </w:tblGrid>
      <w:tr w:rsidR="00680716" w14:paraId="6D8AB888" w14:textId="77777777">
        <w:trPr>
          <w:jc w:val="center"/>
        </w:trPr>
        <w:tc>
          <w:tcPr>
            <w:tcW w:w="1474" w:type="dxa"/>
            <w:shd w:val="clear" w:color="auto" w:fill="333333"/>
          </w:tcPr>
          <w:p w14:paraId="32C846AA" w14:textId="77777777" w:rsidR="00680716" w:rsidRDefault="00000000">
            <w:r>
              <w:rPr>
                <w:b/>
                <w:color w:val="FFFFFF"/>
                <w:sz w:val="18"/>
              </w:rPr>
              <w:t>Period</w:t>
            </w:r>
          </w:p>
        </w:tc>
        <w:tc>
          <w:tcPr>
            <w:tcW w:w="3402" w:type="dxa"/>
            <w:shd w:val="clear" w:color="auto" w:fill="333333"/>
          </w:tcPr>
          <w:p w14:paraId="484BC08C" w14:textId="77777777" w:rsidR="00680716" w:rsidRDefault="00000000">
            <w:r>
              <w:rPr>
                <w:b/>
                <w:color w:val="FFFFFF"/>
                <w:sz w:val="18"/>
              </w:rPr>
              <w:t>Event</w:t>
            </w:r>
          </w:p>
        </w:tc>
        <w:tc>
          <w:tcPr>
            <w:tcW w:w="3912" w:type="dxa"/>
            <w:shd w:val="clear" w:color="auto" w:fill="333333"/>
          </w:tcPr>
          <w:p w14:paraId="1D269E11" w14:textId="77777777" w:rsidR="00680716" w:rsidRDefault="00000000">
            <w:r>
              <w:rPr>
                <w:b/>
                <w:color w:val="FFFFFF"/>
                <w:sz w:val="18"/>
              </w:rPr>
              <w:t>Estimated impact on revenue / margin</w:t>
            </w:r>
          </w:p>
        </w:tc>
      </w:tr>
      <w:tr w:rsidR="00680716" w14:paraId="6A6F71AD" w14:textId="77777777">
        <w:trPr>
          <w:jc w:val="center"/>
        </w:trPr>
        <w:tc>
          <w:tcPr>
            <w:tcW w:w="1474" w:type="dxa"/>
          </w:tcPr>
          <w:p w14:paraId="7DD628BF" w14:textId="77777777" w:rsidR="00680716" w:rsidRDefault="00000000">
            <w:r>
              <w:rPr>
                <w:color w:val="333333"/>
                <w:sz w:val="18"/>
              </w:rPr>
              <w:t>Feb-Jun 2022</w:t>
            </w:r>
          </w:p>
        </w:tc>
        <w:tc>
          <w:tcPr>
            <w:tcW w:w="3402" w:type="dxa"/>
          </w:tcPr>
          <w:p w14:paraId="1BE62498" w14:textId="77777777" w:rsidR="00680716" w:rsidRDefault="00000000">
            <w:r>
              <w:rPr>
                <w:color w:val="333333"/>
                <w:sz w:val="18"/>
              </w:rPr>
              <w:t>Invasion of Ukraine; first EU/US/UK sanctions wave and exclusion of major banks from SWIFT.</w:t>
            </w:r>
          </w:p>
        </w:tc>
        <w:tc>
          <w:tcPr>
            <w:tcW w:w="3912" w:type="dxa"/>
          </w:tcPr>
          <w:p w14:paraId="6716A2C6" w14:textId="77777777" w:rsidR="00680716" w:rsidRDefault="00000000">
            <w:r>
              <w:rPr>
                <w:color w:val="333333"/>
                <w:sz w:val="18"/>
              </w:rPr>
              <w:t>Loss of most European offtake; forced redirection of crude to Asia at steep discounts (Urals-Brent gap widens past $30/bbl).</w:t>
            </w:r>
          </w:p>
        </w:tc>
      </w:tr>
      <w:tr w:rsidR="00680716" w14:paraId="5812D2B8" w14:textId="77777777">
        <w:trPr>
          <w:jc w:val="center"/>
        </w:trPr>
        <w:tc>
          <w:tcPr>
            <w:tcW w:w="1474" w:type="dxa"/>
          </w:tcPr>
          <w:p w14:paraId="5068DB54" w14:textId="77777777" w:rsidR="00680716" w:rsidRDefault="00000000">
            <w:r>
              <w:rPr>
                <w:color w:val="333333"/>
                <w:sz w:val="18"/>
              </w:rPr>
              <w:t>Dec 2022-Feb 2023</w:t>
            </w:r>
          </w:p>
        </w:tc>
        <w:tc>
          <w:tcPr>
            <w:tcW w:w="3402" w:type="dxa"/>
          </w:tcPr>
          <w:p w14:paraId="61B30B6B" w14:textId="77777777" w:rsidR="00680716" w:rsidRDefault="00000000">
            <w:r>
              <w:rPr>
                <w:color w:val="333333"/>
                <w:sz w:val="18"/>
              </w:rPr>
              <w:t>G7/EU/Australia price cap ($60/bbl) and EU seaborne crude/product import bans take effect.</w:t>
            </w:r>
          </w:p>
        </w:tc>
        <w:tc>
          <w:tcPr>
            <w:tcW w:w="3912" w:type="dxa"/>
          </w:tcPr>
          <w:p w14:paraId="2CC9E2E9" w14:textId="77777777" w:rsidR="00680716" w:rsidRDefault="00000000">
            <w:r>
              <w:rPr>
                <w:color w:val="333333"/>
                <w:sz w:val="18"/>
              </w:rPr>
              <w:t>Formalizes a two-tier market for Russian barrels; shadow fleet build-out begins (~100 vessels).</w:t>
            </w:r>
          </w:p>
        </w:tc>
      </w:tr>
      <w:tr w:rsidR="00680716" w14:paraId="3C1BC100" w14:textId="77777777">
        <w:trPr>
          <w:jc w:val="center"/>
        </w:trPr>
        <w:tc>
          <w:tcPr>
            <w:tcW w:w="1474" w:type="dxa"/>
          </w:tcPr>
          <w:p w14:paraId="652AC105" w14:textId="77777777" w:rsidR="00680716" w:rsidRDefault="00000000">
            <w:r>
              <w:rPr>
                <w:color w:val="333333"/>
                <w:sz w:val="18"/>
              </w:rPr>
              <w:t>Aug 2025</w:t>
            </w:r>
          </w:p>
        </w:tc>
        <w:tc>
          <w:tcPr>
            <w:tcW w:w="3402" w:type="dxa"/>
          </w:tcPr>
          <w:p w14:paraId="343BD766" w14:textId="77777777" w:rsidR="00680716" w:rsidRDefault="00000000">
            <w:r>
              <w:rPr>
                <w:color w:val="333333"/>
                <w:sz w:val="18"/>
              </w:rPr>
              <w:t>Wave of Ukrainian drone strikes disables Rosneft refineries (Ryazan, Novokuybyshevsk, Saratov and others); domestic refining capacity down ~10%.</w:t>
            </w:r>
          </w:p>
        </w:tc>
        <w:tc>
          <w:tcPr>
            <w:tcW w:w="3912" w:type="dxa"/>
          </w:tcPr>
          <w:p w14:paraId="76C3442F" w14:textId="77777777" w:rsidR="00680716" w:rsidRDefault="00000000">
            <w:r>
              <w:rPr>
                <w:color w:val="333333"/>
                <w:sz w:val="18"/>
              </w:rPr>
              <w:t>Domestic fuel shortages and a ~30% spike in domestic fuel prices; lost refining margin and more unprocessed crude pushed into export.</w:t>
            </w:r>
          </w:p>
        </w:tc>
      </w:tr>
      <w:tr w:rsidR="00680716" w14:paraId="305D028E" w14:textId="77777777">
        <w:trPr>
          <w:jc w:val="center"/>
        </w:trPr>
        <w:tc>
          <w:tcPr>
            <w:tcW w:w="1474" w:type="dxa"/>
          </w:tcPr>
          <w:p w14:paraId="0FC7F5A5" w14:textId="77777777" w:rsidR="00680716" w:rsidRDefault="00000000">
            <w:r>
              <w:rPr>
                <w:color w:val="333333"/>
                <w:sz w:val="18"/>
              </w:rPr>
              <w:t>Oct 2025</w:t>
            </w:r>
          </w:p>
        </w:tc>
        <w:tc>
          <w:tcPr>
            <w:tcW w:w="3402" w:type="dxa"/>
          </w:tcPr>
          <w:p w14:paraId="052769DA" w14:textId="77777777" w:rsidR="00680716" w:rsidRDefault="00000000">
            <w:r>
              <w:rPr>
                <w:color w:val="333333"/>
                <w:sz w:val="18"/>
              </w:rPr>
              <w:t>UK (15 Oct) and US OFAC (22 Oct) designate Rosneft and Lukoil as SDN-blocked entities; EU 18th-19th packages target Nayara Energy.</w:t>
            </w:r>
          </w:p>
        </w:tc>
        <w:tc>
          <w:tcPr>
            <w:tcW w:w="3912" w:type="dxa"/>
          </w:tcPr>
          <w:p w14:paraId="5414786E" w14:textId="77777777" w:rsidR="00680716" w:rsidRDefault="00000000">
            <w:r>
              <w:rPr>
                <w:color w:val="333333"/>
                <w:sz w:val="18"/>
              </w:rPr>
              <w:t>First full blocking sanctions on Rosneft itself; Chinese/Indian refiners pause an estimated ~45% of China-bound volumes around the 21 Nov wind-down deadline; Urals discount to Brent re-widens toward ~$28/bbl (Primorsk).</w:t>
            </w:r>
          </w:p>
        </w:tc>
      </w:tr>
      <w:tr w:rsidR="00680716" w14:paraId="040EB705" w14:textId="77777777">
        <w:trPr>
          <w:jc w:val="center"/>
        </w:trPr>
        <w:tc>
          <w:tcPr>
            <w:tcW w:w="1474" w:type="dxa"/>
          </w:tcPr>
          <w:p w14:paraId="7B37DF51" w14:textId="77777777" w:rsidR="00680716" w:rsidRDefault="00000000">
            <w:r>
              <w:rPr>
                <w:color w:val="333333"/>
                <w:sz w:val="18"/>
              </w:rPr>
              <w:t>Q1 2026</w:t>
            </w:r>
          </w:p>
        </w:tc>
        <w:tc>
          <w:tcPr>
            <w:tcW w:w="3402" w:type="dxa"/>
          </w:tcPr>
          <w:p w14:paraId="297F2F8C" w14:textId="77777777" w:rsidR="00680716" w:rsidRDefault="00000000">
            <w:r>
              <w:rPr>
                <w:color w:val="333333"/>
                <w:sz w:val="18"/>
              </w:rPr>
              <w:t>EU dynamic price-cap cut to $44.10/bbl (Feb 2026); Russian federal oil &amp; gas revenue -38% to -45% y/y.</w:t>
            </w:r>
          </w:p>
        </w:tc>
        <w:tc>
          <w:tcPr>
            <w:tcW w:w="3912" w:type="dxa"/>
          </w:tcPr>
          <w:p w14:paraId="0F4FD0EC" w14:textId="77777777" w:rsidR="00680716" w:rsidRDefault="00000000">
            <w:r>
              <w:rPr>
                <w:color w:val="333333"/>
                <w:sz w:val="18"/>
              </w:rPr>
              <w:t>Federal budget deficit exceeds its full-year target within three months, raising the probability of further MET or windfall-tax adjustments on producers, including Rosneft.</w:t>
            </w:r>
          </w:p>
        </w:tc>
      </w:tr>
      <w:tr w:rsidR="00680716" w14:paraId="2DB7762A" w14:textId="77777777">
        <w:trPr>
          <w:jc w:val="center"/>
        </w:trPr>
        <w:tc>
          <w:tcPr>
            <w:tcW w:w="1474" w:type="dxa"/>
          </w:tcPr>
          <w:p w14:paraId="438FE0A8" w14:textId="77777777" w:rsidR="00680716" w:rsidRDefault="00000000">
            <w:r>
              <w:rPr>
                <w:color w:val="333333"/>
                <w:sz w:val="18"/>
              </w:rPr>
              <w:t>H1 2026 (ongoing)</w:t>
            </w:r>
          </w:p>
        </w:tc>
        <w:tc>
          <w:tcPr>
            <w:tcW w:w="3402" w:type="dxa"/>
          </w:tcPr>
          <w:p w14:paraId="01AA5C76" w14:textId="77777777" w:rsidR="00680716" w:rsidRDefault="00000000">
            <w:r>
              <w:rPr>
                <w:color w:val="333333"/>
                <w:sz w:val="18"/>
              </w:rPr>
              <w:t>Recurring Ukrainian drone strikes on refineries continue (e.g. Ryazan shut down again, Sept 2026).</w:t>
            </w:r>
          </w:p>
        </w:tc>
        <w:tc>
          <w:tcPr>
            <w:tcW w:w="3912" w:type="dxa"/>
          </w:tcPr>
          <w:p w14:paraId="7FA9BCA8" w14:textId="77777777" w:rsidR="00680716" w:rsidRDefault="00000000">
            <w:r>
              <w:rPr>
                <w:color w:val="333333"/>
                <w:sz w:val="18"/>
              </w:rPr>
              <w:t>Repeated, unplanned downstream outages compress refining margin and reduce diesel/gasoline available for export.</w:t>
            </w:r>
          </w:p>
        </w:tc>
      </w:tr>
    </w:tbl>
    <w:p w14:paraId="723CF54F" w14:textId="77777777" w:rsidR="00680716" w:rsidRDefault="00680716"/>
    <w:p w14:paraId="279BBF8D" w14:textId="77777777" w:rsidR="00680716" w:rsidRDefault="00000000">
      <w:pPr>
        <w:spacing w:after="160"/>
        <w:jc w:val="both"/>
      </w:pPr>
      <w:r>
        <w:t>Individually, each of these developments is a discrete shock; together, they describe a system in which sanctions, the price cap and the ruble now interact with Russia’s own fiscal design to determine Rosneft’s realized economics as much as the headline Brent price does. Section 7 tests explicitly how much of Rosneft’s DCF valuation is a bet on the oil price versus a bet on the sanctions and currency regime holding at its current intensity.</w:t>
      </w:r>
    </w:p>
    <w:p w14:paraId="1D1054C6" w14:textId="77777777" w:rsidR="00680716" w:rsidRDefault="00000000">
      <w:r>
        <w:rPr>
          <w:sz w:val="19"/>
        </w:rPr>
        <w:t>The list below records every source consulted while drafting Section 3, grouped by subsection, so that every figure above can be traced back and re-verified before external distribution.</w:t>
      </w:r>
    </w:p>
    <w:p w14:paraId="1690ED86" w14:textId="77777777" w:rsidR="00680716" w:rsidRDefault="00000000">
      <w:pPr>
        <w:spacing w:before="160" w:after="60"/>
      </w:pPr>
      <w:r>
        <w:rPr>
          <w:b/>
          <w:color w:val="333333"/>
          <w:sz w:val="19"/>
        </w:rPr>
        <w:t>3.1 — International sanctions</w:t>
      </w:r>
    </w:p>
    <w:p w14:paraId="50F4ECFE" w14:textId="77777777" w:rsidR="00680716" w:rsidRDefault="00000000">
      <w:pPr>
        <w:pStyle w:val="Listaconvietas"/>
        <w:spacing w:after="40"/>
        <w:ind w:left="567"/>
      </w:pPr>
      <w:hyperlink r:id="rId8">
        <w:r>
          <w:rPr>
            <w:color w:val="000000"/>
            <w:sz w:val="18"/>
            <w:u w:val="single"/>
          </w:rPr>
          <w:t>Sullivan &amp; Cromwell – United States Sanctions Significant Russian Oil Companies: Rosneft and Lukoil (Oct 2025)</w:t>
        </w:r>
      </w:hyperlink>
    </w:p>
    <w:p w14:paraId="5F34B8C5" w14:textId="77777777" w:rsidR="00680716" w:rsidRDefault="00000000">
      <w:pPr>
        <w:pStyle w:val="Listaconvietas"/>
        <w:spacing w:after="40"/>
        <w:ind w:left="567"/>
      </w:pPr>
      <w:hyperlink r:id="rId9">
        <w:r>
          <w:rPr>
            <w:color w:val="000000"/>
            <w:sz w:val="18"/>
            <w:u w:val="single"/>
          </w:rPr>
          <w:t>Goodwin – Crude Awakening: United States Sanctions Rosneft and Lukoil</w:t>
        </w:r>
      </w:hyperlink>
    </w:p>
    <w:p w14:paraId="04A13802" w14:textId="77777777" w:rsidR="00680716" w:rsidRDefault="00000000">
      <w:pPr>
        <w:pStyle w:val="Listaconvietas"/>
        <w:spacing w:after="40"/>
        <w:ind w:left="567"/>
      </w:pPr>
      <w:hyperlink r:id="rId10">
        <w:r>
          <w:rPr>
            <w:color w:val="000000"/>
            <w:sz w:val="18"/>
            <w:u w:val="single"/>
          </w:rPr>
          <w:t>Covington &amp; Burling – U.S. and UK Sanctions Target Russia’s Two Largest Oil Companies; EU Issues Significant New Russia and Belarus Sanctions Package</w:t>
        </w:r>
      </w:hyperlink>
    </w:p>
    <w:p w14:paraId="37EE616B" w14:textId="77777777" w:rsidR="00680716" w:rsidRDefault="00000000">
      <w:pPr>
        <w:pStyle w:val="Listaconvietas"/>
        <w:spacing w:after="40"/>
        <w:ind w:left="567"/>
      </w:pPr>
      <w:hyperlink r:id="rId11">
        <w:r>
          <w:rPr>
            <w:color w:val="000000"/>
            <w:sz w:val="18"/>
            <w:u w:val="single"/>
          </w:rPr>
          <w:t>UK P&amp;I Club – EU, UK and US Sanctions Updates – October 2025</w:t>
        </w:r>
      </w:hyperlink>
    </w:p>
    <w:p w14:paraId="4F1C24A8" w14:textId="77777777" w:rsidR="00680716" w:rsidRDefault="00000000">
      <w:pPr>
        <w:pStyle w:val="Listaconvietas"/>
        <w:spacing w:after="40"/>
        <w:ind w:left="567"/>
      </w:pPr>
      <w:hyperlink r:id="rId12">
        <w:r>
          <w:rPr>
            <w:color w:val="000000"/>
            <w:sz w:val="18"/>
            <w:u w:val="single"/>
          </w:rPr>
          <w:t>Baker McKenzie – EU and UK announce aligned reduction of the Russian Oil Price Cap</w:t>
        </w:r>
      </w:hyperlink>
    </w:p>
    <w:p w14:paraId="05B71242" w14:textId="77777777" w:rsidR="00680716" w:rsidRDefault="00000000">
      <w:pPr>
        <w:pStyle w:val="Listaconvietas"/>
        <w:spacing w:after="40"/>
        <w:ind w:left="567"/>
      </w:pPr>
      <w:hyperlink r:id="rId13">
        <w:r>
          <w:rPr>
            <w:color w:val="000000"/>
            <w:sz w:val="18"/>
            <w:u w:val="single"/>
          </w:rPr>
          <w:t>Steptoe – U.S. Targets Rosneft and Lukoil in First Russia Sanctions Action Under Trump</w:t>
        </w:r>
      </w:hyperlink>
    </w:p>
    <w:p w14:paraId="5B441D8E" w14:textId="77777777" w:rsidR="00680716" w:rsidRDefault="00000000">
      <w:pPr>
        <w:spacing w:before="160" w:after="60"/>
      </w:pPr>
      <w:r>
        <w:rPr>
          <w:b/>
          <w:color w:val="333333"/>
          <w:sz w:val="19"/>
        </w:rPr>
        <w:lastRenderedPageBreak/>
        <w:t>3.2 — Oil market and the Urals-Brent spread</w:t>
      </w:r>
    </w:p>
    <w:p w14:paraId="5F2EB789" w14:textId="77777777" w:rsidR="00680716" w:rsidRDefault="00000000">
      <w:pPr>
        <w:pStyle w:val="Listaconvietas"/>
        <w:spacing w:after="40"/>
        <w:ind w:left="567"/>
      </w:pPr>
      <w:hyperlink r:id="rId14">
        <w:r>
          <w:rPr>
            <w:color w:val="000000"/>
            <w:sz w:val="18"/>
            <w:u w:val="single"/>
          </w:rPr>
          <w:t>Brookings – Stiffening European sanctions against the Russian oil trade</w:t>
        </w:r>
      </w:hyperlink>
    </w:p>
    <w:p w14:paraId="1E43F2A4" w14:textId="77777777" w:rsidR="00680716" w:rsidRDefault="00000000">
      <w:pPr>
        <w:pStyle w:val="Listaconvietas"/>
        <w:spacing w:after="40"/>
        <w:ind w:left="567"/>
      </w:pPr>
      <w:hyperlink r:id="rId15">
        <w:r>
          <w:rPr>
            <w:color w:val="000000"/>
            <w:sz w:val="18"/>
            <w:u w:val="single"/>
          </w:rPr>
          <w:t>Discovery Alert – Urals Crude Prices Fall Below $100 Per Barrel in 2026</w:t>
        </w:r>
      </w:hyperlink>
    </w:p>
    <w:p w14:paraId="2FC03853" w14:textId="77777777" w:rsidR="00680716" w:rsidRDefault="00000000">
      <w:pPr>
        <w:pStyle w:val="Listaconvietas"/>
        <w:spacing w:after="40"/>
        <w:ind w:left="567"/>
      </w:pPr>
      <w:hyperlink r:id="rId16">
        <w:r>
          <w:rPr>
            <w:color w:val="000000"/>
            <w:sz w:val="18"/>
            <w:u w:val="single"/>
          </w:rPr>
          <w:t>Kpler – Rosneft and Lukoil sanctions are live: how India, China and Turkey adapt rather than exit (Dec 2025)</w:t>
        </w:r>
      </w:hyperlink>
    </w:p>
    <w:p w14:paraId="7C3D8B36" w14:textId="77777777" w:rsidR="00680716" w:rsidRDefault="00000000">
      <w:pPr>
        <w:pStyle w:val="Listaconvietas"/>
        <w:spacing w:after="40"/>
        <w:ind w:left="567"/>
      </w:pPr>
      <w:hyperlink r:id="rId17">
        <w:r>
          <w:rPr>
            <w:color w:val="000000"/>
            <w:sz w:val="18"/>
            <w:u w:val="single"/>
          </w:rPr>
          <w:t>VoxUkraine – Shadow Fleet, Sanctions, and the Demand for Russian Crude Oil</w:t>
        </w:r>
      </w:hyperlink>
    </w:p>
    <w:p w14:paraId="60128642" w14:textId="77777777" w:rsidR="00680716" w:rsidRDefault="00000000">
      <w:pPr>
        <w:pStyle w:val="Listaconvietas"/>
        <w:spacing w:after="40"/>
        <w:ind w:left="567"/>
      </w:pPr>
      <w:hyperlink r:id="rId18">
        <w:r>
          <w:rPr>
            <w:color w:val="000000"/>
            <w:sz w:val="18"/>
            <w:u w:val="single"/>
          </w:rPr>
          <w:t>TASS – OPEC+ nations agree to keep production quotas for October at September level</w:t>
        </w:r>
      </w:hyperlink>
    </w:p>
    <w:p w14:paraId="41B584B1" w14:textId="77777777" w:rsidR="00680716" w:rsidRDefault="00000000">
      <w:pPr>
        <w:pStyle w:val="Listaconvietas"/>
        <w:spacing w:after="40"/>
        <w:ind w:left="567"/>
      </w:pPr>
      <w:hyperlink r:id="rId19">
        <w:r>
          <w:rPr>
            <w:color w:val="000000"/>
            <w:sz w:val="18"/>
            <w:u w:val="single"/>
          </w:rPr>
          <w:t>CNBC – OPEC+ holds 2026 group-wide oil output steady, agrees capacity mechanism</w:t>
        </w:r>
      </w:hyperlink>
    </w:p>
    <w:p w14:paraId="6BB057A9" w14:textId="77777777" w:rsidR="00680716" w:rsidRDefault="00000000">
      <w:pPr>
        <w:spacing w:before="160" w:after="60"/>
      </w:pPr>
      <w:r>
        <w:rPr>
          <w:b/>
          <w:color w:val="333333"/>
          <w:sz w:val="19"/>
        </w:rPr>
        <w:t>3.3 — Fiscal framework and the federal budget</w:t>
      </w:r>
    </w:p>
    <w:p w14:paraId="671FD4AB" w14:textId="77777777" w:rsidR="00680716" w:rsidRDefault="00000000">
      <w:pPr>
        <w:pStyle w:val="Listaconvietas"/>
        <w:spacing w:after="40"/>
        <w:ind w:left="567"/>
      </w:pPr>
      <w:hyperlink r:id="rId20">
        <w:r>
          <w:rPr>
            <w:color w:val="000000"/>
            <w:sz w:val="18"/>
            <w:u w:val="single"/>
          </w:rPr>
          <w:t>Oil &amp; Gas Journal – Demystifying Russia’s oil and gas taxes</w:t>
        </w:r>
      </w:hyperlink>
    </w:p>
    <w:p w14:paraId="4B2EA213" w14:textId="77777777" w:rsidR="00680716" w:rsidRDefault="00000000">
      <w:pPr>
        <w:pStyle w:val="Listaconvietas"/>
        <w:spacing w:after="40"/>
        <w:ind w:left="567"/>
      </w:pPr>
      <w:hyperlink r:id="rId21">
        <w:r>
          <w:rPr>
            <w:color w:val="000000"/>
            <w:sz w:val="18"/>
            <w:u w:val="single"/>
          </w:rPr>
          <w:t>OilPrice.com – Russia Faces Sharp Drop in Oil Tax Revenue at Start of 2026</w:t>
        </w:r>
      </w:hyperlink>
    </w:p>
    <w:p w14:paraId="570C99B4" w14:textId="77777777" w:rsidR="00680716" w:rsidRDefault="00000000">
      <w:pPr>
        <w:pStyle w:val="Listaconvietas"/>
        <w:spacing w:after="40"/>
        <w:ind w:left="567"/>
      </w:pPr>
      <w:hyperlink r:id="rId22">
        <w:r>
          <w:rPr>
            <w:color w:val="000000"/>
            <w:sz w:val="18"/>
            <w:u w:val="single"/>
          </w:rPr>
          <w:t>Interfax – Russian govt mulls 20% windfall profit tax for 2025 using 2018-2019 as base</w:t>
        </w:r>
      </w:hyperlink>
    </w:p>
    <w:p w14:paraId="19717053" w14:textId="77777777" w:rsidR="00680716" w:rsidRDefault="00000000">
      <w:pPr>
        <w:pStyle w:val="Listaconvietas"/>
        <w:spacing w:after="40"/>
        <w:ind w:left="567"/>
      </w:pPr>
      <w:hyperlink r:id="rId23">
        <w:r>
          <w:rPr>
            <w:color w:val="000000"/>
            <w:sz w:val="18"/>
            <w:u w:val="single"/>
          </w:rPr>
          <w:t>The Moscow Times – Russia’s Federal Budget Deficit Blows Past Annual Target in Just 3 Months (Apr 2026)</w:t>
        </w:r>
      </w:hyperlink>
    </w:p>
    <w:p w14:paraId="2FEEE324" w14:textId="77777777" w:rsidR="00680716" w:rsidRDefault="00000000">
      <w:pPr>
        <w:pStyle w:val="Listaconvietas"/>
        <w:spacing w:after="40"/>
        <w:ind w:left="567"/>
      </w:pPr>
      <w:hyperlink r:id="rId24">
        <w:r>
          <w:rPr>
            <w:color w:val="000000"/>
            <w:sz w:val="18"/>
            <w:u w:val="single"/>
          </w:rPr>
          <w:t>Meduza – Russia’s oil and gas revenues fall 45% in first quarter as budget deficit exceeds full-year target (Apr 2026)</w:t>
        </w:r>
      </w:hyperlink>
    </w:p>
    <w:p w14:paraId="7A8C9E63" w14:textId="77777777" w:rsidR="00680716" w:rsidRDefault="00000000">
      <w:pPr>
        <w:spacing w:before="160" w:after="60"/>
      </w:pPr>
      <w:r>
        <w:rPr>
          <w:b/>
          <w:color w:val="333333"/>
          <w:sz w:val="19"/>
        </w:rPr>
        <w:t>3.4 — Currency risk and capital controls</w:t>
      </w:r>
    </w:p>
    <w:p w14:paraId="7FA532A6" w14:textId="77777777" w:rsidR="00680716" w:rsidRDefault="00000000">
      <w:pPr>
        <w:pStyle w:val="Listaconvietas"/>
        <w:spacing w:after="40"/>
        <w:ind w:left="567"/>
      </w:pPr>
      <w:hyperlink r:id="rId25">
        <w:r>
          <w:rPr>
            <w:color w:val="000000"/>
            <w:sz w:val="18"/>
            <w:u w:val="single"/>
          </w:rPr>
          <w:t>bne IntelliNews – Russia’s ruble best performing currency in the world in 1Q26</w:t>
        </w:r>
      </w:hyperlink>
    </w:p>
    <w:p w14:paraId="7F94FFB7" w14:textId="77777777" w:rsidR="00680716" w:rsidRDefault="00000000">
      <w:pPr>
        <w:pStyle w:val="Listaconvietas"/>
        <w:spacing w:after="40"/>
        <w:ind w:left="567"/>
      </w:pPr>
      <w:hyperlink r:id="rId26">
        <w:r>
          <w:rPr>
            <w:color w:val="000000"/>
            <w:sz w:val="18"/>
            <w:u w:val="single"/>
          </w:rPr>
          <w:t>Trading Economics – Capital Controls Maintain Ruble Strength</w:t>
        </w:r>
      </w:hyperlink>
    </w:p>
    <w:p w14:paraId="12230199" w14:textId="77777777" w:rsidR="00680716" w:rsidRDefault="00000000">
      <w:pPr>
        <w:pStyle w:val="Listaconvietas"/>
        <w:spacing w:after="40"/>
        <w:ind w:left="567"/>
      </w:pPr>
      <w:hyperlink r:id="rId27">
        <w:r>
          <w:rPr>
            <w:color w:val="000000"/>
            <w:sz w:val="18"/>
            <w:u w:val="single"/>
          </w:rPr>
          <w:t>Business Standard – Lenders cautious: Nayara Energy exposure to EU sanctions</w:t>
        </w:r>
      </w:hyperlink>
    </w:p>
    <w:p w14:paraId="640116A2" w14:textId="77777777" w:rsidR="00680716" w:rsidRDefault="00000000">
      <w:pPr>
        <w:spacing w:before="160" w:after="60"/>
      </w:pPr>
      <w:r>
        <w:rPr>
          <w:b/>
          <w:color w:val="333333"/>
          <w:sz w:val="19"/>
        </w:rPr>
        <w:t>3.5 — Buyer response, refinery strikes and corporate impact</w:t>
      </w:r>
    </w:p>
    <w:p w14:paraId="18CE2CB4" w14:textId="77777777" w:rsidR="00680716" w:rsidRDefault="00000000">
      <w:pPr>
        <w:pStyle w:val="Listaconvietas"/>
        <w:spacing w:after="40"/>
        <w:ind w:left="567"/>
      </w:pPr>
      <w:hyperlink r:id="rId28">
        <w:r>
          <w:rPr>
            <w:color w:val="000000"/>
            <w:sz w:val="18"/>
            <w:u w:val="single"/>
          </w:rPr>
          <w:t>CNN Business – How hard will Trump’s "tremendous" Russian oil sanctions hit Moscow? China and India may decide</w:t>
        </w:r>
      </w:hyperlink>
    </w:p>
    <w:p w14:paraId="3895C5CA" w14:textId="77777777" w:rsidR="00680716" w:rsidRDefault="00000000">
      <w:pPr>
        <w:pStyle w:val="Listaconvietas"/>
        <w:spacing w:after="40"/>
        <w:ind w:left="567"/>
      </w:pPr>
      <w:hyperlink r:id="rId29">
        <w:r>
          <w:rPr>
            <w:color w:val="000000"/>
            <w:sz w:val="18"/>
            <w:u w:val="single"/>
          </w:rPr>
          <w:t>The Moscow Times – Russian Oil Prices Sink as India and China Cut Purchases Ahead of U.S. Sanctions Deadline (Nov 2025)</w:t>
        </w:r>
      </w:hyperlink>
    </w:p>
    <w:p w14:paraId="64D1AC66" w14:textId="77777777" w:rsidR="00680716" w:rsidRDefault="00000000">
      <w:pPr>
        <w:pStyle w:val="Listaconvietas"/>
        <w:spacing w:after="40"/>
        <w:ind w:left="567"/>
      </w:pPr>
      <w:hyperlink r:id="rId30">
        <w:r>
          <w:rPr>
            <w:color w:val="000000"/>
            <w:sz w:val="18"/>
            <w:u w:val="single"/>
          </w:rPr>
          <w:t>The Moscow Times – Russian Oil Refinery Capacity Drops Nearly 10% After Ukrainian Drone Strikes (Aug 2025)</w:t>
        </w:r>
      </w:hyperlink>
    </w:p>
    <w:p w14:paraId="5ACFB2F9" w14:textId="77777777" w:rsidR="00680716" w:rsidRDefault="00000000">
      <w:pPr>
        <w:pStyle w:val="Listaconvietas"/>
        <w:spacing w:after="40"/>
        <w:ind w:left="567"/>
      </w:pPr>
      <w:hyperlink r:id="rId31">
        <w:r>
          <w:rPr>
            <w:color w:val="000000"/>
            <w:sz w:val="18"/>
            <w:u w:val="single"/>
          </w:rPr>
          <w:t>The Moscow Times – Rosneft’s Ryazan Oil Refinery Shuts Down After Drone Attack, Industry Sources Say (Sept 2026)</w:t>
        </w:r>
      </w:hyperlink>
    </w:p>
    <w:p w14:paraId="6D11E634" w14:textId="77777777" w:rsidR="00680716" w:rsidRDefault="00000000">
      <w:pPr>
        <w:pStyle w:val="Listaconvietas"/>
        <w:spacing w:after="40"/>
        <w:ind w:left="567"/>
      </w:pPr>
      <w:hyperlink r:id="rId32">
        <w:r>
          <w:rPr>
            <w:color w:val="000000"/>
            <w:sz w:val="18"/>
            <w:u w:val="single"/>
          </w:rPr>
          <w:t>Rosneft Oil Company – Statement of Rosneft Oil Company Regarding Illegal EU Sanctions on Nayara Energy Refinery</w:t>
        </w:r>
      </w:hyperlink>
    </w:p>
    <w:p w14:paraId="62B93A5F" w14:textId="77777777" w:rsidR="00680716" w:rsidRDefault="00000000">
      <w:r>
        <w:rPr>
          <w:i/>
          <w:color w:val="8C8C8C"/>
          <w:sz w:val="17"/>
        </w:rPr>
        <w:t>Figures throughout Section 3 are approximate, drawn from the secondary sources listed above rather than Rosneft’s own disclosures, and should be re-verified against primary sources (company filings, OFAC/EU official texts) before external distribution.</w:t>
      </w:r>
    </w:p>
    <w:p w14:paraId="7701347C" w14:textId="77777777" w:rsidR="00680716" w:rsidRDefault="00000000">
      <w:pPr>
        <w:pStyle w:val="Ttulo1"/>
      </w:pPr>
      <w:r>
        <w:t>4. Financial Statement Analysis</w:t>
      </w:r>
    </w:p>
    <w:p w14:paraId="0447816C" w14:textId="77777777" w:rsidR="00680716" w:rsidRDefault="00000000">
      <w:r>
        <w:rPr>
          <w:i/>
          <w:color w:val="8C8C8C"/>
          <w:sz w:val="20"/>
        </w:rPr>
        <w:t>Basis: consolidated IFRS data 2022-2026 H1 (source: Rosneft_DCF.xlsx, "CFS" tab, and rosneft_pipeline/output/rosneft_financials.xlsx). Figures in RUB million unless stated otherwise.</w:t>
      </w:r>
    </w:p>
    <w:p w14:paraId="463CAFD3" w14:textId="77777777" w:rsidR="00680716" w:rsidRDefault="00000000">
      <w:pPr>
        <w:pStyle w:val="Ttulo2"/>
      </w:pPr>
      <w:r>
        <w:t>4.1 Income Statement</w:t>
      </w:r>
    </w:p>
    <w:p w14:paraId="21321635" w14:textId="77777777" w:rsidR="00680716" w:rsidRDefault="00000000">
      <w:pPr>
        <w:pStyle w:val="Listaconvietas"/>
        <w:ind w:left="567"/>
      </w:pPr>
      <w:r>
        <w:rPr>
          <w:color w:val="333333"/>
          <w:sz w:val="21"/>
        </w:rPr>
        <w:t>Evolution of total revenue and equity share in profits of associates (2022-2026 H1).</w:t>
      </w:r>
    </w:p>
    <w:p w14:paraId="198ABFF4" w14:textId="77777777" w:rsidR="00680716" w:rsidRDefault="00000000">
      <w:pPr>
        <w:pStyle w:val="Listaconvietas"/>
        <w:ind w:left="567"/>
      </w:pPr>
      <w:r>
        <w:rPr>
          <w:color w:val="333333"/>
          <w:sz w:val="21"/>
        </w:rPr>
        <w:t>Evolution of production and operating expenses, D&amp;A, and other costs and expenses.</w:t>
      </w:r>
    </w:p>
    <w:p w14:paraId="7AF2BF2A" w14:textId="77777777" w:rsidR="00680716" w:rsidRDefault="00000000">
      <w:pPr>
        <w:pStyle w:val="Listaconvietas"/>
        <w:ind w:left="567"/>
      </w:pPr>
      <w:r>
        <w:rPr>
          <w:color w:val="333333"/>
          <w:sz w:val="21"/>
        </w:rPr>
        <w:t>Margins: operating margin, pre-tax margin and net margin.</w:t>
      </w:r>
    </w:p>
    <w:p w14:paraId="4D9CB20E" w14:textId="77777777" w:rsidR="00680716" w:rsidRDefault="00000000">
      <w:pPr>
        <w:pStyle w:val="Listaconvietas"/>
        <w:ind w:left="567"/>
      </w:pPr>
      <w:r>
        <w:rPr>
          <w:color w:val="333333"/>
          <w:sz w:val="21"/>
        </w:rPr>
        <w:t>Effect of income tax expense on net profit attributable to Rosneft shareholders.</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680716" w14:paraId="40A613B3" w14:textId="77777777">
        <w:trPr>
          <w:jc w:val="center"/>
        </w:trPr>
        <w:tc>
          <w:tcPr>
            <w:tcW w:w="1568" w:type="dxa"/>
            <w:shd w:val="clear" w:color="auto" w:fill="333333"/>
          </w:tcPr>
          <w:p w14:paraId="0F67B069" w14:textId="77777777" w:rsidR="00680716" w:rsidRDefault="00000000">
            <w:r>
              <w:rPr>
                <w:b/>
                <w:color w:val="FFFFFF"/>
                <w:sz w:val="19"/>
              </w:rPr>
              <w:t>Item (RUB mn)</w:t>
            </w:r>
          </w:p>
        </w:tc>
        <w:tc>
          <w:tcPr>
            <w:tcW w:w="1568" w:type="dxa"/>
            <w:shd w:val="clear" w:color="auto" w:fill="333333"/>
          </w:tcPr>
          <w:p w14:paraId="17E76026" w14:textId="77777777" w:rsidR="00680716" w:rsidRDefault="00000000">
            <w:r>
              <w:rPr>
                <w:b/>
                <w:color w:val="FFFFFF"/>
                <w:sz w:val="19"/>
              </w:rPr>
              <w:t>2022</w:t>
            </w:r>
          </w:p>
        </w:tc>
        <w:tc>
          <w:tcPr>
            <w:tcW w:w="1568" w:type="dxa"/>
            <w:shd w:val="clear" w:color="auto" w:fill="333333"/>
          </w:tcPr>
          <w:p w14:paraId="22604788" w14:textId="77777777" w:rsidR="00680716" w:rsidRDefault="00000000">
            <w:r>
              <w:rPr>
                <w:b/>
                <w:color w:val="FFFFFF"/>
                <w:sz w:val="19"/>
              </w:rPr>
              <w:t>2023</w:t>
            </w:r>
          </w:p>
        </w:tc>
        <w:tc>
          <w:tcPr>
            <w:tcW w:w="1568" w:type="dxa"/>
            <w:shd w:val="clear" w:color="auto" w:fill="333333"/>
          </w:tcPr>
          <w:p w14:paraId="62A4E8F2" w14:textId="77777777" w:rsidR="00680716" w:rsidRDefault="00000000">
            <w:r>
              <w:rPr>
                <w:b/>
                <w:color w:val="FFFFFF"/>
                <w:sz w:val="19"/>
              </w:rPr>
              <w:t>2024</w:t>
            </w:r>
          </w:p>
        </w:tc>
        <w:tc>
          <w:tcPr>
            <w:tcW w:w="1568" w:type="dxa"/>
            <w:shd w:val="clear" w:color="auto" w:fill="333333"/>
          </w:tcPr>
          <w:p w14:paraId="6B89831F" w14:textId="77777777" w:rsidR="00680716" w:rsidRDefault="00000000">
            <w:r>
              <w:rPr>
                <w:b/>
                <w:color w:val="FFFFFF"/>
                <w:sz w:val="19"/>
              </w:rPr>
              <w:t>2025</w:t>
            </w:r>
          </w:p>
        </w:tc>
        <w:tc>
          <w:tcPr>
            <w:tcW w:w="1568" w:type="dxa"/>
            <w:shd w:val="clear" w:color="auto" w:fill="333333"/>
          </w:tcPr>
          <w:p w14:paraId="15783C18" w14:textId="77777777" w:rsidR="00680716" w:rsidRDefault="00000000">
            <w:r>
              <w:rPr>
                <w:b/>
                <w:color w:val="FFFFFF"/>
                <w:sz w:val="19"/>
              </w:rPr>
              <w:t>2026 H1</w:t>
            </w:r>
          </w:p>
        </w:tc>
      </w:tr>
      <w:tr w:rsidR="00680716" w14:paraId="6C60CFDC" w14:textId="77777777">
        <w:trPr>
          <w:jc w:val="center"/>
        </w:trPr>
        <w:tc>
          <w:tcPr>
            <w:tcW w:w="1568" w:type="dxa"/>
          </w:tcPr>
          <w:p w14:paraId="3E4E8F99" w14:textId="77777777" w:rsidR="00680716" w:rsidRDefault="00000000">
            <w:r>
              <w:rPr>
                <w:i/>
                <w:color w:val="8C8C8C"/>
                <w:sz w:val="19"/>
              </w:rPr>
              <w:t>[to be completed]</w:t>
            </w:r>
          </w:p>
        </w:tc>
        <w:tc>
          <w:tcPr>
            <w:tcW w:w="1568" w:type="dxa"/>
          </w:tcPr>
          <w:p w14:paraId="66E7A4B1" w14:textId="77777777" w:rsidR="00680716" w:rsidRDefault="00680716"/>
        </w:tc>
        <w:tc>
          <w:tcPr>
            <w:tcW w:w="1568" w:type="dxa"/>
          </w:tcPr>
          <w:p w14:paraId="5FA5F869" w14:textId="77777777" w:rsidR="00680716" w:rsidRDefault="00680716"/>
        </w:tc>
        <w:tc>
          <w:tcPr>
            <w:tcW w:w="1568" w:type="dxa"/>
          </w:tcPr>
          <w:p w14:paraId="7D37B360" w14:textId="77777777" w:rsidR="00680716" w:rsidRDefault="00680716"/>
        </w:tc>
        <w:tc>
          <w:tcPr>
            <w:tcW w:w="1568" w:type="dxa"/>
          </w:tcPr>
          <w:p w14:paraId="5CE964E8" w14:textId="77777777" w:rsidR="00680716" w:rsidRDefault="00680716"/>
        </w:tc>
        <w:tc>
          <w:tcPr>
            <w:tcW w:w="1568" w:type="dxa"/>
          </w:tcPr>
          <w:p w14:paraId="00D0FC04" w14:textId="77777777" w:rsidR="00680716" w:rsidRDefault="00680716"/>
        </w:tc>
      </w:tr>
      <w:tr w:rsidR="00680716" w14:paraId="115531CF" w14:textId="77777777">
        <w:trPr>
          <w:jc w:val="center"/>
        </w:trPr>
        <w:tc>
          <w:tcPr>
            <w:tcW w:w="1568" w:type="dxa"/>
          </w:tcPr>
          <w:p w14:paraId="591323C8" w14:textId="77777777" w:rsidR="00680716" w:rsidRDefault="00680716"/>
        </w:tc>
        <w:tc>
          <w:tcPr>
            <w:tcW w:w="1568" w:type="dxa"/>
          </w:tcPr>
          <w:p w14:paraId="4E509496" w14:textId="77777777" w:rsidR="00680716" w:rsidRDefault="00680716"/>
        </w:tc>
        <w:tc>
          <w:tcPr>
            <w:tcW w:w="1568" w:type="dxa"/>
          </w:tcPr>
          <w:p w14:paraId="04610BAC" w14:textId="77777777" w:rsidR="00680716" w:rsidRDefault="00680716"/>
        </w:tc>
        <w:tc>
          <w:tcPr>
            <w:tcW w:w="1568" w:type="dxa"/>
          </w:tcPr>
          <w:p w14:paraId="1A097C69" w14:textId="77777777" w:rsidR="00680716" w:rsidRDefault="00680716"/>
        </w:tc>
        <w:tc>
          <w:tcPr>
            <w:tcW w:w="1568" w:type="dxa"/>
          </w:tcPr>
          <w:p w14:paraId="78F68116" w14:textId="77777777" w:rsidR="00680716" w:rsidRDefault="00680716"/>
        </w:tc>
        <w:tc>
          <w:tcPr>
            <w:tcW w:w="1568" w:type="dxa"/>
          </w:tcPr>
          <w:p w14:paraId="23C32AFF" w14:textId="77777777" w:rsidR="00680716" w:rsidRDefault="00680716"/>
        </w:tc>
      </w:tr>
      <w:tr w:rsidR="00680716" w14:paraId="0AB114F2" w14:textId="77777777">
        <w:trPr>
          <w:jc w:val="center"/>
        </w:trPr>
        <w:tc>
          <w:tcPr>
            <w:tcW w:w="1568" w:type="dxa"/>
          </w:tcPr>
          <w:p w14:paraId="0C649C62" w14:textId="77777777" w:rsidR="00680716" w:rsidRDefault="00680716"/>
        </w:tc>
        <w:tc>
          <w:tcPr>
            <w:tcW w:w="1568" w:type="dxa"/>
          </w:tcPr>
          <w:p w14:paraId="0AD00856" w14:textId="77777777" w:rsidR="00680716" w:rsidRDefault="00680716"/>
        </w:tc>
        <w:tc>
          <w:tcPr>
            <w:tcW w:w="1568" w:type="dxa"/>
          </w:tcPr>
          <w:p w14:paraId="69DC8F93" w14:textId="77777777" w:rsidR="00680716" w:rsidRDefault="00680716"/>
        </w:tc>
        <w:tc>
          <w:tcPr>
            <w:tcW w:w="1568" w:type="dxa"/>
          </w:tcPr>
          <w:p w14:paraId="4D7CED6B" w14:textId="77777777" w:rsidR="00680716" w:rsidRDefault="00680716"/>
        </w:tc>
        <w:tc>
          <w:tcPr>
            <w:tcW w:w="1568" w:type="dxa"/>
          </w:tcPr>
          <w:p w14:paraId="4CACF4BE" w14:textId="77777777" w:rsidR="00680716" w:rsidRDefault="00680716"/>
        </w:tc>
        <w:tc>
          <w:tcPr>
            <w:tcW w:w="1568" w:type="dxa"/>
          </w:tcPr>
          <w:p w14:paraId="2235F2D2" w14:textId="77777777" w:rsidR="00680716" w:rsidRDefault="00680716"/>
        </w:tc>
      </w:tr>
      <w:tr w:rsidR="00680716" w14:paraId="6C820454" w14:textId="77777777">
        <w:trPr>
          <w:jc w:val="center"/>
        </w:trPr>
        <w:tc>
          <w:tcPr>
            <w:tcW w:w="1568" w:type="dxa"/>
          </w:tcPr>
          <w:p w14:paraId="467D334C" w14:textId="77777777" w:rsidR="00680716" w:rsidRDefault="00680716"/>
        </w:tc>
        <w:tc>
          <w:tcPr>
            <w:tcW w:w="1568" w:type="dxa"/>
          </w:tcPr>
          <w:p w14:paraId="4C25CAF7" w14:textId="77777777" w:rsidR="00680716" w:rsidRDefault="00680716"/>
        </w:tc>
        <w:tc>
          <w:tcPr>
            <w:tcW w:w="1568" w:type="dxa"/>
          </w:tcPr>
          <w:p w14:paraId="60E85632" w14:textId="77777777" w:rsidR="00680716" w:rsidRDefault="00680716"/>
        </w:tc>
        <w:tc>
          <w:tcPr>
            <w:tcW w:w="1568" w:type="dxa"/>
          </w:tcPr>
          <w:p w14:paraId="4C3FAEA7" w14:textId="77777777" w:rsidR="00680716" w:rsidRDefault="00680716"/>
        </w:tc>
        <w:tc>
          <w:tcPr>
            <w:tcW w:w="1568" w:type="dxa"/>
          </w:tcPr>
          <w:p w14:paraId="421C2B7D" w14:textId="77777777" w:rsidR="00680716" w:rsidRDefault="00680716"/>
        </w:tc>
        <w:tc>
          <w:tcPr>
            <w:tcW w:w="1568" w:type="dxa"/>
          </w:tcPr>
          <w:p w14:paraId="4DBD26B0" w14:textId="77777777" w:rsidR="00680716" w:rsidRDefault="00680716"/>
        </w:tc>
      </w:tr>
      <w:tr w:rsidR="00680716" w14:paraId="26B02745" w14:textId="77777777">
        <w:trPr>
          <w:jc w:val="center"/>
        </w:trPr>
        <w:tc>
          <w:tcPr>
            <w:tcW w:w="1568" w:type="dxa"/>
          </w:tcPr>
          <w:p w14:paraId="52ECF4EA" w14:textId="77777777" w:rsidR="00680716" w:rsidRDefault="00680716"/>
        </w:tc>
        <w:tc>
          <w:tcPr>
            <w:tcW w:w="1568" w:type="dxa"/>
          </w:tcPr>
          <w:p w14:paraId="677C8C26" w14:textId="77777777" w:rsidR="00680716" w:rsidRDefault="00680716"/>
        </w:tc>
        <w:tc>
          <w:tcPr>
            <w:tcW w:w="1568" w:type="dxa"/>
          </w:tcPr>
          <w:p w14:paraId="30197129" w14:textId="77777777" w:rsidR="00680716" w:rsidRDefault="00680716"/>
        </w:tc>
        <w:tc>
          <w:tcPr>
            <w:tcW w:w="1568" w:type="dxa"/>
          </w:tcPr>
          <w:p w14:paraId="5B170630" w14:textId="77777777" w:rsidR="00680716" w:rsidRDefault="00680716"/>
        </w:tc>
        <w:tc>
          <w:tcPr>
            <w:tcW w:w="1568" w:type="dxa"/>
          </w:tcPr>
          <w:p w14:paraId="1D55468B" w14:textId="77777777" w:rsidR="00680716" w:rsidRDefault="00680716"/>
        </w:tc>
        <w:tc>
          <w:tcPr>
            <w:tcW w:w="1568" w:type="dxa"/>
          </w:tcPr>
          <w:p w14:paraId="6B7FF392" w14:textId="77777777" w:rsidR="00680716" w:rsidRDefault="00680716"/>
        </w:tc>
      </w:tr>
      <w:tr w:rsidR="00680716" w14:paraId="162C54CE" w14:textId="77777777">
        <w:trPr>
          <w:jc w:val="center"/>
        </w:trPr>
        <w:tc>
          <w:tcPr>
            <w:tcW w:w="1568" w:type="dxa"/>
          </w:tcPr>
          <w:p w14:paraId="4EDF4607" w14:textId="77777777" w:rsidR="00680716" w:rsidRDefault="00680716"/>
        </w:tc>
        <w:tc>
          <w:tcPr>
            <w:tcW w:w="1568" w:type="dxa"/>
          </w:tcPr>
          <w:p w14:paraId="668E4AB7" w14:textId="77777777" w:rsidR="00680716" w:rsidRDefault="00680716"/>
        </w:tc>
        <w:tc>
          <w:tcPr>
            <w:tcW w:w="1568" w:type="dxa"/>
          </w:tcPr>
          <w:p w14:paraId="7BD535F4" w14:textId="77777777" w:rsidR="00680716" w:rsidRDefault="00680716"/>
        </w:tc>
        <w:tc>
          <w:tcPr>
            <w:tcW w:w="1568" w:type="dxa"/>
          </w:tcPr>
          <w:p w14:paraId="3D83CBED" w14:textId="77777777" w:rsidR="00680716" w:rsidRDefault="00680716"/>
        </w:tc>
        <w:tc>
          <w:tcPr>
            <w:tcW w:w="1568" w:type="dxa"/>
          </w:tcPr>
          <w:p w14:paraId="0433075C" w14:textId="77777777" w:rsidR="00680716" w:rsidRDefault="00680716"/>
        </w:tc>
        <w:tc>
          <w:tcPr>
            <w:tcW w:w="1568" w:type="dxa"/>
          </w:tcPr>
          <w:p w14:paraId="34AE1A1B" w14:textId="77777777" w:rsidR="00680716" w:rsidRDefault="00680716"/>
        </w:tc>
      </w:tr>
    </w:tbl>
    <w:p w14:paraId="3DBE11E4" w14:textId="77777777" w:rsidR="00680716" w:rsidRDefault="00000000">
      <w:r>
        <w:rPr>
          <w:i/>
          <w:color w:val="8C8C8C"/>
          <w:sz w:val="17"/>
        </w:rPr>
        <w:t>Complete with: Total revenue, Operating profit, Profit before tax, Net profit, Operating margin (%), Net margin (%).</w:t>
      </w:r>
    </w:p>
    <w:p w14:paraId="3FC1345D" w14:textId="77777777" w:rsidR="00680716" w:rsidRDefault="00680716"/>
    <w:p w14:paraId="7202BA22" w14:textId="77777777" w:rsidR="00680716" w:rsidRDefault="00000000">
      <w:pPr>
        <w:pStyle w:val="Ttulo2"/>
      </w:pPr>
      <w:r>
        <w:t>4.2 Balance Sheet</w:t>
      </w:r>
    </w:p>
    <w:p w14:paraId="6DABAF32" w14:textId="77777777" w:rsidR="00680716" w:rsidRDefault="00000000">
      <w:pPr>
        <w:pStyle w:val="Listaconvietas"/>
        <w:ind w:left="567"/>
      </w:pPr>
      <w:r>
        <w:rPr>
          <w:color w:val="333333"/>
          <w:sz w:val="21"/>
        </w:rPr>
        <w:t>Asset structure: current vs. non-current assets, evolution of total assets.</w:t>
      </w:r>
    </w:p>
    <w:p w14:paraId="6E6D1350" w14:textId="77777777" w:rsidR="00680716" w:rsidRDefault="00000000">
      <w:pPr>
        <w:pStyle w:val="Listaconvietas"/>
        <w:ind w:left="567"/>
      </w:pPr>
      <w:r>
        <w:rPr>
          <w:color w:val="333333"/>
          <w:sz w:val="21"/>
        </w:rPr>
        <w:t>Liability structure: current vs. non-current liabilities, evolution of debt.</w:t>
      </w:r>
    </w:p>
    <w:p w14:paraId="698AD188" w14:textId="77777777" w:rsidR="00680716" w:rsidRDefault="00000000">
      <w:pPr>
        <w:pStyle w:val="Listaconvietas"/>
        <w:ind w:left="567"/>
      </w:pPr>
      <w:r>
        <w:rPr>
          <w:color w:val="333333"/>
          <w:sz w:val="21"/>
        </w:rPr>
        <w:t>Shareholders’ equity and its evolution (effect of retained earnings, dividends and FX translation).</w:t>
      </w:r>
    </w:p>
    <w:p w14:paraId="0D9536C9" w14:textId="77777777" w:rsidR="00680716" w:rsidRDefault="00000000">
      <w:pPr>
        <w:pStyle w:val="Listaconvietas"/>
        <w:ind w:left="567"/>
      </w:pPr>
      <w:r>
        <w:rPr>
          <w:color w:val="333333"/>
          <w:sz w:val="21"/>
        </w:rPr>
        <w:t>Liquidity analysis (working capital, current ratio) and solvency analysis (leverage, net debt/EBITDA).</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680716" w14:paraId="1D919710" w14:textId="77777777">
        <w:trPr>
          <w:jc w:val="center"/>
        </w:trPr>
        <w:tc>
          <w:tcPr>
            <w:tcW w:w="1568" w:type="dxa"/>
            <w:shd w:val="clear" w:color="auto" w:fill="333333"/>
          </w:tcPr>
          <w:p w14:paraId="30637178" w14:textId="77777777" w:rsidR="00680716" w:rsidRDefault="00000000">
            <w:r>
              <w:rPr>
                <w:b/>
                <w:color w:val="FFFFFF"/>
                <w:sz w:val="19"/>
              </w:rPr>
              <w:t>Item (RUB mn)</w:t>
            </w:r>
          </w:p>
        </w:tc>
        <w:tc>
          <w:tcPr>
            <w:tcW w:w="1568" w:type="dxa"/>
            <w:shd w:val="clear" w:color="auto" w:fill="333333"/>
          </w:tcPr>
          <w:p w14:paraId="7204E820" w14:textId="77777777" w:rsidR="00680716" w:rsidRDefault="00000000">
            <w:r>
              <w:rPr>
                <w:b/>
                <w:color w:val="FFFFFF"/>
                <w:sz w:val="19"/>
              </w:rPr>
              <w:t>2022</w:t>
            </w:r>
          </w:p>
        </w:tc>
        <w:tc>
          <w:tcPr>
            <w:tcW w:w="1568" w:type="dxa"/>
            <w:shd w:val="clear" w:color="auto" w:fill="333333"/>
          </w:tcPr>
          <w:p w14:paraId="414A042B" w14:textId="77777777" w:rsidR="00680716" w:rsidRDefault="00000000">
            <w:r>
              <w:rPr>
                <w:b/>
                <w:color w:val="FFFFFF"/>
                <w:sz w:val="19"/>
              </w:rPr>
              <w:t>2023</w:t>
            </w:r>
          </w:p>
        </w:tc>
        <w:tc>
          <w:tcPr>
            <w:tcW w:w="1568" w:type="dxa"/>
            <w:shd w:val="clear" w:color="auto" w:fill="333333"/>
          </w:tcPr>
          <w:p w14:paraId="4F8EB8DE" w14:textId="77777777" w:rsidR="00680716" w:rsidRDefault="00000000">
            <w:r>
              <w:rPr>
                <w:b/>
                <w:color w:val="FFFFFF"/>
                <w:sz w:val="19"/>
              </w:rPr>
              <w:t>2024</w:t>
            </w:r>
          </w:p>
        </w:tc>
        <w:tc>
          <w:tcPr>
            <w:tcW w:w="1568" w:type="dxa"/>
            <w:shd w:val="clear" w:color="auto" w:fill="333333"/>
          </w:tcPr>
          <w:p w14:paraId="3156EEEC" w14:textId="77777777" w:rsidR="00680716" w:rsidRDefault="00000000">
            <w:r>
              <w:rPr>
                <w:b/>
                <w:color w:val="FFFFFF"/>
                <w:sz w:val="19"/>
              </w:rPr>
              <w:t>2025</w:t>
            </w:r>
          </w:p>
        </w:tc>
        <w:tc>
          <w:tcPr>
            <w:tcW w:w="1568" w:type="dxa"/>
            <w:shd w:val="clear" w:color="auto" w:fill="333333"/>
          </w:tcPr>
          <w:p w14:paraId="6F189824" w14:textId="77777777" w:rsidR="00680716" w:rsidRDefault="00000000">
            <w:r>
              <w:rPr>
                <w:b/>
                <w:color w:val="FFFFFF"/>
                <w:sz w:val="19"/>
              </w:rPr>
              <w:t>2026 H1</w:t>
            </w:r>
          </w:p>
        </w:tc>
      </w:tr>
      <w:tr w:rsidR="00680716" w14:paraId="1997EA6F" w14:textId="77777777">
        <w:trPr>
          <w:jc w:val="center"/>
        </w:trPr>
        <w:tc>
          <w:tcPr>
            <w:tcW w:w="1568" w:type="dxa"/>
          </w:tcPr>
          <w:p w14:paraId="755D0F8F" w14:textId="77777777" w:rsidR="00680716" w:rsidRDefault="00000000">
            <w:r>
              <w:rPr>
                <w:i/>
                <w:color w:val="8C8C8C"/>
                <w:sz w:val="19"/>
              </w:rPr>
              <w:t>[to be completed]</w:t>
            </w:r>
          </w:p>
        </w:tc>
        <w:tc>
          <w:tcPr>
            <w:tcW w:w="1568" w:type="dxa"/>
          </w:tcPr>
          <w:p w14:paraId="0E2ADD7C" w14:textId="77777777" w:rsidR="00680716" w:rsidRDefault="00680716"/>
        </w:tc>
        <w:tc>
          <w:tcPr>
            <w:tcW w:w="1568" w:type="dxa"/>
          </w:tcPr>
          <w:p w14:paraId="1D7F8D54" w14:textId="77777777" w:rsidR="00680716" w:rsidRDefault="00680716"/>
        </w:tc>
        <w:tc>
          <w:tcPr>
            <w:tcW w:w="1568" w:type="dxa"/>
          </w:tcPr>
          <w:p w14:paraId="415D9A98" w14:textId="77777777" w:rsidR="00680716" w:rsidRDefault="00680716"/>
        </w:tc>
        <w:tc>
          <w:tcPr>
            <w:tcW w:w="1568" w:type="dxa"/>
          </w:tcPr>
          <w:p w14:paraId="3F009335" w14:textId="77777777" w:rsidR="00680716" w:rsidRDefault="00680716"/>
        </w:tc>
        <w:tc>
          <w:tcPr>
            <w:tcW w:w="1568" w:type="dxa"/>
          </w:tcPr>
          <w:p w14:paraId="141C37DE" w14:textId="77777777" w:rsidR="00680716" w:rsidRDefault="00680716"/>
        </w:tc>
      </w:tr>
      <w:tr w:rsidR="00680716" w14:paraId="0AF47B53" w14:textId="77777777">
        <w:trPr>
          <w:jc w:val="center"/>
        </w:trPr>
        <w:tc>
          <w:tcPr>
            <w:tcW w:w="1568" w:type="dxa"/>
          </w:tcPr>
          <w:p w14:paraId="7409734C" w14:textId="77777777" w:rsidR="00680716" w:rsidRDefault="00680716"/>
        </w:tc>
        <w:tc>
          <w:tcPr>
            <w:tcW w:w="1568" w:type="dxa"/>
          </w:tcPr>
          <w:p w14:paraId="299915AF" w14:textId="77777777" w:rsidR="00680716" w:rsidRDefault="00680716"/>
        </w:tc>
        <w:tc>
          <w:tcPr>
            <w:tcW w:w="1568" w:type="dxa"/>
          </w:tcPr>
          <w:p w14:paraId="70E1A3C7" w14:textId="77777777" w:rsidR="00680716" w:rsidRDefault="00680716"/>
        </w:tc>
        <w:tc>
          <w:tcPr>
            <w:tcW w:w="1568" w:type="dxa"/>
          </w:tcPr>
          <w:p w14:paraId="1B54F4E4" w14:textId="77777777" w:rsidR="00680716" w:rsidRDefault="00680716"/>
        </w:tc>
        <w:tc>
          <w:tcPr>
            <w:tcW w:w="1568" w:type="dxa"/>
          </w:tcPr>
          <w:p w14:paraId="2543A260" w14:textId="77777777" w:rsidR="00680716" w:rsidRDefault="00680716"/>
        </w:tc>
        <w:tc>
          <w:tcPr>
            <w:tcW w:w="1568" w:type="dxa"/>
          </w:tcPr>
          <w:p w14:paraId="2EB904A8" w14:textId="77777777" w:rsidR="00680716" w:rsidRDefault="00680716"/>
        </w:tc>
      </w:tr>
      <w:tr w:rsidR="00680716" w14:paraId="1AC7203D" w14:textId="77777777">
        <w:trPr>
          <w:jc w:val="center"/>
        </w:trPr>
        <w:tc>
          <w:tcPr>
            <w:tcW w:w="1568" w:type="dxa"/>
          </w:tcPr>
          <w:p w14:paraId="602BCDE8" w14:textId="77777777" w:rsidR="00680716" w:rsidRDefault="00680716"/>
        </w:tc>
        <w:tc>
          <w:tcPr>
            <w:tcW w:w="1568" w:type="dxa"/>
          </w:tcPr>
          <w:p w14:paraId="0B872450" w14:textId="77777777" w:rsidR="00680716" w:rsidRDefault="00680716"/>
        </w:tc>
        <w:tc>
          <w:tcPr>
            <w:tcW w:w="1568" w:type="dxa"/>
          </w:tcPr>
          <w:p w14:paraId="5A88BB2C" w14:textId="77777777" w:rsidR="00680716" w:rsidRDefault="00680716"/>
        </w:tc>
        <w:tc>
          <w:tcPr>
            <w:tcW w:w="1568" w:type="dxa"/>
          </w:tcPr>
          <w:p w14:paraId="4A8163F8" w14:textId="77777777" w:rsidR="00680716" w:rsidRDefault="00680716"/>
        </w:tc>
        <w:tc>
          <w:tcPr>
            <w:tcW w:w="1568" w:type="dxa"/>
          </w:tcPr>
          <w:p w14:paraId="60E50AE4" w14:textId="77777777" w:rsidR="00680716" w:rsidRDefault="00680716"/>
        </w:tc>
        <w:tc>
          <w:tcPr>
            <w:tcW w:w="1568" w:type="dxa"/>
          </w:tcPr>
          <w:p w14:paraId="4DDFB8F3" w14:textId="77777777" w:rsidR="00680716" w:rsidRDefault="00680716"/>
        </w:tc>
      </w:tr>
      <w:tr w:rsidR="00680716" w14:paraId="7B50E4A2" w14:textId="77777777">
        <w:trPr>
          <w:jc w:val="center"/>
        </w:trPr>
        <w:tc>
          <w:tcPr>
            <w:tcW w:w="1568" w:type="dxa"/>
          </w:tcPr>
          <w:p w14:paraId="642C9575" w14:textId="77777777" w:rsidR="00680716" w:rsidRDefault="00680716"/>
        </w:tc>
        <w:tc>
          <w:tcPr>
            <w:tcW w:w="1568" w:type="dxa"/>
          </w:tcPr>
          <w:p w14:paraId="1D6E866B" w14:textId="77777777" w:rsidR="00680716" w:rsidRDefault="00680716"/>
        </w:tc>
        <w:tc>
          <w:tcPr>
            <w:tcW w:w="1568" w:type="dxa"/>
          </w:tcPr>
          <w:p w14:paraId="34277357" w14:textId="77777777" w:rsidR="00680716" w:rsidRDefault="00680716"/>
        </w:tc>
        <w:tc>
          <w:tcPr>
            <w:tcW w:w="1568" w:type="dxa"/>
          </w:tcPr>
          <w:p w14:paraId="68809A7C" w14:textId="77777777" w:rsidR="00680716" w:rsidRDefault="00680716"/>
        </w:tc>
        <w:tc>
          <w:tcPr>
            <w:tcW w:w="1568" w:type="dxa"/>
          </w:tcPr>
          <w:p w14:paraId="28B364A2" w14:textId="77777777" w:rsidR="00680716" w:rsidRDefault="00680716"/>
        </w:tc>
        <w:tc>
          <w:tcPr>
            <w:tcW w:w="1568" w:type="dxa"/>
          </w:tcPr>
          <w:p w14:paraId="05286FAD" w14:textId="77777777" w:rsidR="00680716" w:rsidRDefault="00680716"/>
        </w:tc>
      </w:tr>
      <w:tr w:rsidR="00680716" w14:paraId="7FF6E118" w14:textId="77777777">
        <w:trPr>
          <w:jc w:val="center"/>
        </w:trPr>
        <w:tc>
          <w:tcPr>
            <w:tcW w:w="1568" w:type="dxa"/>
          </w:tcPr>
          <w:p w14:paraId="6960222B" w14:textId="77777777" w:rsidR="00680716" w:rsidRDefault="00680716"/>
        </w:tc>
        <w:tc>
          <w:tcPr>
            <w:tcW w:w="1568" w:type="dxa"/>
          </w:tcPr>
          <w:p w14:paraId="280BCDA0" w14:textId="77777777" w:rsidR="00680716" w:rsidRDefault="00680716"/>
        </w:tc>
        <w:tc>
          <w:tcPr>
            <w:tcW w:w="1568" w:type="dxa"/>
          </w:tcPr>
          <w:p w14:paraId="67DC2C38" w14:textId="77777777" w:rsidR="00680716" w:rsidRDefault="00680716"/>
        </w:tc>
        <w:tc>
          <w:tcPr>
            <w:tcW w:w="1568" w:type="dxa"/>
          </w:tcPr>
          <w:p w14:paraId="049949EC" w14:textId="77777777" w:rsidR="00680716" w:rsidRDefault="00680716"/>
        </w:tc>
        <w:tc>
          <w:tcPr>
            <w:tcW w:w="1568" w:type="dxa"/>
          </w:tcPr>
          <w:p w14:paraId="07B59397" w14:textId="77777777" w:rsidR="00680716" w:rsidRDefault="00680716"/>
        </w:tc>
        <w:tc>
          <w:tcPr>
            <w:tcW w:w="1568" w:type="dxa"/>
          </w:tcPr>
          <w:p w14:paraId="5BEBCBD0" w14:textId="77777777" w:rsidR="00680716" w:rsidRDefault="00680716"/>
        </w:tc>
      </w:tr>
      <w:tr w:rsidR="00680716" w14:paraId="47240B4F" w14:textId="77777777">
        <w:trPr>
          <w:jc w:val="center"/>
        </w:trPr>
        <w:tc>
          <w:tcPr>
            <w:tcW w:w="1568" w:type="dxa"/>
          </w:tcPr>
          <w:p w14:paraId="3D26638F" w14:textId="77777777" w:rsidR="00680716" w:rsidRDefault="00680716"/>
        </w:tc>
        <w:tc>
          <w:tcPr>
            <w:tcW w:w="1568" w:type="dxa"/>
          </w:tcPr>
          <w:p w14:paraId="04C638F3" w14:textId="77777777" w:rsidR="00680716" w:rsidRDefault="00680716"/>
        </w:tc>
        <w:tc>
          <w:tcPr>
            <w:tcW w:w="1568" w:type="dxa"/>
          </w:tcPr>
          <w:p w14:paraId="43836724" w14:textId="77777777" w:rsidR="00680716" w:rsidRDefault="00680716"/>
        </w:tc>
        <w:tc>
          <w:tcPr>
            <w:tcW w:w="1568" w:type="dxa"/>
          </w:tcPr>
          <w:p w14:paraId="2318B801" w14:textId="77777777" w:rsidR="00680716" w:rsidRDefault="00680716"/>
        </w:tc>
        <w:tc>
          <w:tcPr>
            <w:tcW w:w="1568" w:type="dxa"/>
          </w:tcPr>
          <w:p w14:paraId="0657D5BC" w14:textId="77777777" w:rsidR="00680716" w:rsidRDefault="00680716"/>
        </w:tc>
        <w:tc>
          <w:tcPr>
            <w:tcW w:w="1568" w:type="dxa"/>
          </w:tcPr>
          <w:p w14:paraId="72AF38D4" w14:textId="77777777" w:rsidR="00680716" w:rsidRDefault="00680716"/>
        </w:tc>
      </w:tr>
      <w:tr w:rsidR="00680716" w14:paraId="55486A60" w14:textId="77777777">
        <w:trPr>
          <w:jc w:val="center"/>
        </w:trPr>
        <w:tc>
          <w:tcPr>
            <w:tcW w:w="1568" w:type="dxa"/>
          </w:tcPr>
          <w:p w14:paraId="4CD2BDED" w14:textId="77777777" w:rsidR="00680716" w:rsidRDefault="00680716"/>
        </w:tc>
        <w:tc>
          <w:tcPr>
            <w:tcW w:w="1568" w:type="dxa"/>
          </w:tcPr>
          <w:p w14:paraId="4BCCF9F9" w14:textId="77777777" w:rsidR="00680716" w:rsidRDefault="00680716"/>
        </w:tc>
        <w:tc>
          <w:tcPr>
            <w:tcW w:w="1568" w:type="dxa"/>
          </w:tcPr>
          <w:p w14:paraId="119EAD3C" w14:textId="77777777" w:rsidR="00680716" w:rsidRDefault="00680716"/>
        </w:tc>
        <w:tc>
          <w:tcPr>
            <w:tcW w:w="1568" w:type="dxa"/>
          </w:tcPr>
          <w:p w14:paraId="0F68A03B" w14:textId="77777777" w:rsidR="00680716" w:rsidRDefault="00680716"/>
        </w:tc>
        <w:tc>
          <w:tcPr>
            <w:tcW w:w="1568" w:type="dxa"/>
          </w:tcPr>
          <w:p w14:paraId="3BD7AB36" w14:textId="77777777" w:rsidR="00680716" w:rsidRDefault="00680716"/>
        </w:tc>
        <w:tc>
          <w:tcPr>
            <w:tcW w:w="1568" w:type="dxa"/>
          </w:tcPr>
          <w:p w14:paraId="5BCFFDCC" w14:textId="77777777" w:rsidR="00680716" w:rsidRDefault="00680716"/>
        </w:tc>
      </w:tr>
    </w:tbl>
    <w:p w14:paraId="5625DAF6" w14:textId="77777777" w:rsidR="00680716" w:rsidRDefault="00000000">
      <w:r>
        <w:rPr>
          <w:i/>
          <w:color w:val="8C8C8C"/>
          <w:sz w:val="17"/>
        </w:rPr>
        <w:t>Complete with: Current assets, Non-current assets, Total assets, Current liabilities, Non-current liabilities, Total equity, Solvency ratio.</w:t>
      </w:r>
    </w:p>
    <w:p w14:paraId="054DF366" w14:textId="77777777" w:rsidR="00680716" w:rsidRDefault="00680716"/>
    <w:p w14:paraId="1A7F5657" w14:textId="77777777" w:rsidR="00680716" w:rsidRDefault="00000000">
      <w:pPr>
        <w:pStyle w:val="Ttulo2"/>
      </w:pPr>
      <w:r>
        <w:t>4.3 Cash Flow Statement</w:t>
      </w:r>
    </w:p>
    <w:p w14:paraId="2220099F" w14:textId="77777777" w:rsidR="00680716" w:rsidRDefault="00000000">
      <w:pPr>
        <w:pStyle w:val="Listaconvietas"/>
        <w:ind w:left="567"/>
      </w:pPr>
      <w:r>
        <w:rPr>
          <w:color w:val="333333"/>
          <w:sz w:val="21"/>
        </w:rPr>
        <w:t>Operating cash flow: cash-generating capacity of the recurring business.</w:t>
      </w:r>
    </w:p>
    <w:p w14:paraId="421DCD36" w14:textId="77777777" w:rsidR="00680716" w:rsidRDefault="00000000">
      <w:pPr>
        <w:pStyle w:val="Listaconvietas"/>
        <w:ind w:left="567"/>
      </w:pPr>
      <w:r>
        <w:rPr>
          <w:color w:val="333333"/>
          <w:sz w:val="21"/>
        </w:rPr>
        <w:t>Investing cash flow and CAPEX evolution (key link to Section 5, new projects).</w:t>
      </w:r>
    </w:p>
    <w:p w14:paraId="0C567027" w14:textId="77777777" w:rsidR="00680716" w:rsidRDefault="00000000">
      <w:pPr>
        <w:pStyle w:val="Listaconvietas"/>
        <w:ind w:left="567"/>
      </w:pPr>
      <w:r>
        <w:rPr>
          <w:color w:val="333333"/>
          <w:sz w:val="21"/>
        </w:rPr>
        <w:t>Financing cash flow: dividend policy, debt issuance/repayment.</w:t>
      </w:r>
    </w:p>
    <w:p w14:paraId="6B195258" w14:textId="77777777" w:rsidR="00680716" w:rsidRDefault="00000000">
      <w:pPr>
        <w:pStyle w:val="Listaconvietas"/>
        <w:ind w:left="567"/>
      </w:pPr>
      <w:r>
        <w:rPr>
          <w:color w:val="333333"/>
          <w:sz w:val="21"/>
        </w:rPr>
        <w:t>Resulting free cash flow (FCF) — direct starting point for the DCF model (Section 6).</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680716" w14:paraId="3A245570" w14:textId="77777777">
        <w:trPr>
          <w:jc w:val="center"/>
        </w:trPr>
        <w:tc>
          <w:tcPr>
            <w:tcW w:w="1568" w:type="dxa"/>
            <w:shd w:val="clear" w:color="auto" w:fill="333333"/>
          </w:tcPr>
          <w:p w14:paraId="4578F36D" w14:textId="77777777" w:rsidR="00680716" w:rsidRDefault="00000000">
            <w:r>
              <w:rPr>
                <w:b/>
                <w:color w:val="FFFFFF"/>
                <w:sz w:val="19"/>
              </w:rPr>
              <w:t>Item (RUB mn)</w:t>
            </w:r>
          </w:p>
        </w:tc>
        <w:tc>
          <w:tcPr>
            <w:tcW w:w="1568" w:type="dxa"/>
            <w:shd w:val="clear" w:color="auto" w:fill="333333"/>
          </w:tcPr>
          <w:p w14:paraId="4C1F875F" w14:textId="77777777" w:rsidR="00680716" w:rsidRDefault="00000000">
            <w:r>
              <w:rPr>
                <w:b/>
                <w:color w:val="FFFFFF"/>
                <w:sz w:val="19"/>
              </w:rPr>
              <w:t>2022</w:t>
            </w:r>
          </w:p>
        </w:tc>
        <w:tc>
          <w:tcPr>
            <w:tcW w:w="1568" w:type="dxa"/>
            <w:shd w:val="clear" w:color="auto" w:fill="333333"/>
          </w:tcPr>
          <w:p w14:paraId="70991B21" w14:textId="77777777" w:rsidR="00680716" w:rsidRDefault="00000000">
            <w:r>
              <w:rPr>
                <w:b/>
                <w:color w:val="FFFFFF"/>
                <w:sz w:val="19"/>
              </w:rPr>
              <w:t>2023</w:t>
            </w:r>
          </w:p>
        </w:tc>
        <w:tc>
          <w:tcPr>
            <w:tcW w:w="1568" w:type="dxa"/>
            <w:shd w:val="clear" w:color="auto" w:fill="333333"/>
          </w:tcPr>
          <w:p w14:paraId="3CB2B61A" w14:textId="77777777" w:rsidR="00680716" w:rsidRDefault="00000000">
            <w:r>
              <w:rPr>
                <w:b/>
                <w:color w:val="FFFFFF"/>
                <w:sz w:val="19"/>
              </w:rPr>
              <w:t>2024</w:t>
            </w:r>
          </w:p>
        </w:tc>
        <w:tc>
          <w:tcPr>
            <w:tcW w:w="1568" w:type="dxa"/>
            <w:shd w:val="clear" w:color="auto" w:fill="333333"/>
          </w:tcPr>
          <w:p w14:paraId="2F00D9B0" w14:textId="77777777" w:rsidR="00680716" w:rsidRDefault="00000000">
            <w:r>
              <w:rPr>
                <w:b/>
                <w:color w:val="FFFFFF"/>
                <w:sz w:val="19"/>
              </w:rPr>
              <w:t>2025</w:t>
            </w:r>
          </w:p>
        </w:tc>
        <w:tc>
          <w:tcPr>
            <w:tcW w:w="1568" w:type="dxa"/>
            <w:shd w:val="clear" w:color="auto" w:fill="333333"/>
          </w:tcPr>
          <w:p w14:paraId="4EAC1166" w14:textId="77777777" w:rsidR="00680716" w:rsidRDefault="00000000">
            <w:r>
              <w:rPr>
                <w:b/>
                <w:color w:val="FFFFFF"/>
                <w:sz w:val="19"/>
              </w:rPr>
              <w:t>2026 H1</w:t>
            </w:r>
          </w:p>
        </w:tc>
      </w:tr>
      <w:tr w:rsidR="00680716" w14:paraId="259A6281" w14:textId="77777777">
        <w:trPr>
          <w:jc w:val="center"/>
        </w:trPr>
        <w:tc>
          <w:tcPr>
            <w:tcW w:w="1568" w:type="dxa"/>
          </w:tcPr>
          <w:p w14:paraId="1EEE8C4C" w14:textId="77777777" w:rsidR="00680716" w:rsidRDefault="00000000">
            <w:r>
              <w:rPr>
                <w:i/>
                <w:color w:val="8C8C8C"/>
                <w:sz w:val="19"/>
              </w:rPr>
              <w:t>[to be completed]</w:t>
            </w:r>
          </w:p>
        </w:tc>
        <w:tc>
          <w:tcPr>
            <w:tcW w:w="1568" w:type="dxa"/>
          </w:tcPr>
          <w:p w14:paraId="4088F495" w14:textId="77777777" w:rsidR="00680716" w:rsidRDefault="00680716"/>
        </w:tc>
        <w:tc>
          <w:tcPr>
            <w:tcW w:w="1568" w:type="dxa"/>
          </w:tcPr>
          <w:p w14:paraId="611BE213" w14:textId="77777777" w:rsidR="00680716" w:rsidRDefault="00680716"/>
        </w:tc>
        <w:tc>
          <w:tcPr>
            <w:tcW w:w="1568" w:type="dxa"/>
          </w:tcPr>
          <w:p w14:paraId="05BCECF7" w14:textId="77777777" w:rsidR="00680716" w:rsidRDefault="00680716"/>
        </w:tc>
        <w:tc>
          <w:tcPr>
            <w:tcW w:w="1568" w:type="dxa"/>
          </w:tcPr>
          <w:p w14:paraId="3BDB6F16" w14:textId="77777777" w:rsidR="00680716" w:rsidRDefault="00680716"/>
        </w:tc>
        <w:tc>
          <w:tcPr>
            <w:tcW w:w="1568" w:type="dxa"/>
          </w:tcPr>
          <w:p w14:paraId="6C417109" w14:textId="77777777" w:rsidR="00680716" w:rsidRDefault="00680716"/>
        </w:tc>
      </w:tr>
      <w:tr w:rsidR="00680716" w14:paraId="22171817" w14:textId="77777777">
        <w:trPr>
          <w:jc w:val="center"/>
        </w:trPr>
        <w:tc>
          <w:tcPr>
            <w:tcW w:w="1568" w:type="dxa"/>
          </w:tcPr>
          <w:p w14:paraId="2EC1A8A2" w14:textId="77777777" w:rsidR="00680716" w:rsidRDefault="00680716"/>
        </w:tc>
        <w:tc>
          <w:tcPr>
            <w:tcW w:w="1568" w:type="dxa"/>
          </w:tcPr>
          <w:p w14:paraId="566F2A6A" w14:textId="77777777" w:rsidR="00680716" w:rsidRDefault="00680716"/>
        </w:tc>
        <w:tc>
          <w:tcPr>
            <w:tcW w:w="1568" w:type="dxa"/>
          </w:tcPr>
          <w:p w14:paraId="01BAFD01" w14:textId="77777777" w:rsidR="00680716" w:rsidRDefault="00680716"/>
        </w:tc>
        <w:tc>
          <w:tcPr>
            <w:tcW w:w="1568" w:type="dxa"/>
          </w:tcPr>
          <w:p w14:paraId="7D88B054" w14:textId="77777777" w:rsidR="00680716" w:rsidRDefault="00680716"/>
        </w:tc>
        <w:tc>
          <w:tcPr>
            <w:tcW w:w="1568" w:type="dxa"/>
          </w:tcPr>
          <w:p w14:paraId="7FE183B8" w14:textId="77777777" w:rsidR="00680716" w:rsidRDefault="00680716"/>
        </w:tc>
        <w:tc>
          <w:tcPr>
            <w:tcW w:w="1568" w:type="dxa"/>
          </w:tcPr>
          <w:p w14:paraId="09872EB2" w14:textId="77777777" w:rsidR="00680716" w:rsidRDefault="00680716"/>
        </w:tc>
      </w:tr>
      <w:tr w:rsidR="00680716" w14:paraId="41E281BB" w14:textId="77777777">
        <w:trPr>
          <w:jc w:val="center"/>
        </w:trPr>
        <w:tc>
          <w:tcPr>
            <w:tcW w:w="1568" w:type="dxa"/>
          </w:tcPr>
          <w:p w14:paraId="6B03F163" w14:textId="77777777" w:rsidR="00680716" w:rsidRDefault="00680716"/>
        </w:tc>
        <w:tc>
          <w:tcPr>
            <w:tcW w:w="1568" w:type="dxa"/>
          </w:tcPr>
          <w:p w14:paraId="1150444D" w14:textId="77777777" w:rsidR="00680716" w:rsidRDefault="00680716"/>
        </w:tc>
        <w:tc>
          <w:tcPr>
            <w:tcW w:w="1568" w:type="dxa"/>
          </w:tcPr>
          <w:p w14:paraId="4F58EFA6" w14:textId="77777777" w:rsidR="00680716" w:rsidRDefault="00680716"/>
        </w:tc>
        <w:tc>
          <w:tcPr>
            <w:tcW w:w="1568" w:type="dxa"/>
          </w:tcPr>
          <w:p w14:paraId="21EE9D8E" w14:textId="77777777" w:rsidR="00680716" w:rsidRDefault="00680716"/>
        </w:tc>
        <w:tc>
          <w:tcPr>
            <w:tcW w:w="1568" w:type="dxa"/>
          </w:tcPr>
          <w:p w14:paraId="5A1F19CA" w14:textId="77777777" w:rsidR="00680716" w:rsidRDefault="00680716"/>
        </w:tc>
        <w:tc>
          <w:tcPr>
            <w:tcW w:w="1568" w:type="dxa"/>
          </w:tcPr>
          <w:p w14:paraId="762D45FA" w14:textId="77777777" w:rsidR="00680716" w:rsidRDefault="00680716"/>
        </w:tc>
      </w:tr>
      <w:tr w:rsidR="00680716" w14:paraId="7C721274" w14:textId="77777777">
        <w:trPr>
          <w:jc w:val="center"/>
        </w:trPr>
        <w:tc>
          <w:tcPr>
            <w:tcW w:w="1568" w:type="dxa"/>
          </w:tcPr>
          <w:p w14:paraId="2997AACB" w14:textId="77777777" w:rsidR="00680716" w:rsidRDefault="00680716"/>
        </w:tc>
        <w:tc>
          <w:tcPr>
            <w:tcW w:w="1568" w:type="dxa"/>
          </w:tcPr>
          <w:p w14:paraId="3A7FE8A4" w14:textId="77777777" w:rsidR="00680716" w:rsidRDefault="00680716"/>
        </w:tc>
        <w:tc>
          <w:tcPr>
            <w:tcW w:w="1568" w:type="dxa"/>
          </w:tcPr>
          <w:p w14:paraId="580CAC93" w14:textId="77777777" w:rsidR="00680716" w:rsidRDefault="00680716"/>
        </w:tc>
        <w:tc>
          <w:tcPr>
            <w:tcW w:w="1568" w:type="dxa"/>
          </w:tcPr>
          <w:p w14:paraId="79456ACD" w14:textId="77777777" w:rsidR="00680716" w:rsidRDefault="00680716"/>
        </w:tc>
        <w:tc>
          <w:tcPr>
            <w:tcW w:w="1568" w:type="dxa"/>
          </w:tcPr>
          <w:p w14:paraId="771F2DC9" w14:textId="77777777" w:rsidR="00680716" w:rsidRDefault="00680716"/>
        </w:tc>
        <w:tc>
          <w:tcPr>
            <w:tcW w:w="1568" w:type="dxa"/>
          </w:tcPr>
          <w:p w14:paraId="022C66D8" w14:textId="77777777" w:rsidR="00680716" w:rsidRDefault="00680716"/>
        </w:tc>
      </w:tr>
      <w:tr w:rsidR="00680716" w14:paraId="562B6348" w14:textId="77777777">
        <w:trPr>
          <w:jc w:val="center"/>
        </w:trPr>
        <w:tc>
          <w:tcPr>
            <w:tcW w:w="1568" w:type="dxa"/>
          </w:tcPr>
          <w:p w14:paraId="3F3AEFDE" w14:textId="77777777" w:rsidR="00680716" w:rsidRDefault="00680716"/>
        </w:tc>
        <w:tc>
          <w:tcPr>
            <w:tcW w:w="1568" w:type="dxa"/>
          </w:tcPr>
          <w:p w14:paraId="5310EEA4" w14:textId="77777777" w:rsidR="00680716" w:rsidRDefault="00680716"/>
        </w:tc>
        <w:tc>
          <w:tcPr>
            <w:tcW w:w="1568" w:type="dxa"/>
          </w:tcPr>
          <w:p w14:paraId="4B9FDEFF" w14:textId="77777777" w:rsidR="00680716" w:rsidRDefault="00680716"/>
        </w:tc>
        <w:tc>
          <w:tcPr>
            <w:tcW w:w="1568" w:type="dxa"/>
          </w:tcPr>
          <w:p w14:paraId="4F3AB92C" w14:textId="77777777" w:rsidR="00680716" w:rsidRDefault="00680716"/>
        </w:tc>
        <w:tc>
          <w:tcPr>
            <w:tcW w:w="1568" w:type="dxa"/>
          </w:tcPr>
          <w:p w14:paraId="1ADEB357" w14:textId="77777777" w:rsidR="00680716" w:rsidRDefault="00680716"/>
        </w:tc>
        <w:tc>
          <w:tcPr>
            <w:tcW w:w="1568" w:type="dxa"/>
          </w:tcPr>
          <w:p w14:paraId="6C92C8B9" w14:textId="77777777" w:rsidR="00680716" w:rsidRDefault="00680716"/>
        </w:tc>
      </w:tr>
    </w:tbl>
    <w:p w14:paraId="598CA795" w14:textId="77777777" w:rsidR="00680716" w:rsidRDefault="00000000">
      <w:r>
        <w:rPr>
          <w:i/>
          <w:color w:val="8C8C8C"/>
          <w:sz w:val="17"/>
        </w:rPr>
        <w:t>Complete with: Operating CF, Investing CF, CAPEX, Financing CF, FCF (Operating + Investing).</w:t>
      </w:r>
    </w:p>
    <w:p w14:paraId="0405E496" w14:textId="77777777" w:rsidR="00680716" w:rsidRDefault="00680716"/>
    <w:p w14:paraId="711EFFB8" w14:textId="77777777" w:rsidR="00680716" w:rsidRDefault="00000000">
      <w:pPr>
        <w:pStyle w:val="Ttulo2"/>
      </w:pPr>
      <w:r>
        <w:t>4.4 Key financial ratios</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680716" w14:paraId="21D93B77" w14:textId="77777777">
        <w:trPr>
          <w:jc w:val="center"/>
        </w:trPr>
        <w:tc>
          <w:tcPr>
            <w:tcW w:w="1568" w:type="dxa"/>
            <w:shd w:val="clear" w:color="auto" w:fill="333333"/>
          </w:tcPr>
          <w:p w14:paraId="4D451CA5" w14:textId="77777777" w:rsidR="00680716" w:rsidRDefault="00000000">
            <w:r>
              <w:rPr>
                <w:b/>
                <w:color w:val="FFFFFF"/>
                <w:sz w:val="19"/>
              </w:rPr>
              <w:t>Ratio</w:t>
            </w:r>
          </w:p>
        </w:tc>
        <w:tc>
          <w:tcPr>
            <w:tcW w:w="1568" w:type="dxa"/>
            <w:shd w:val="clear" w:color="auto" w:fill="333333"/>
          </w:tcPr>
          <w:p w14:paraId="6F68C7DF" w14:textId="77777777" w:rsidR="00680716" w:rsidRDefault="00000000">
            <w:r>
              <w:rPr>
                <w:b/>
                <w:color w:val="FFFFFF"/>
                <w:sz w:val="19"/>
              </w:rPr>
              <w:t>2022</w:t>
            </w:r>
          </w:p>
        </w:tc>
        <w:tc>
          <w:tcPr>
            <w:tcW w:w="1568" w:type="dxa"/>
            <w:shd w:val="clear" w:color="auto" w:fill="333333"/>
          </w:tcPr>
          <w:p w14:paraId="21C89F5D" w14:textId="77777777" w:rsidR="00680716" w:rsidRDefault="00000000">
            <w:r>
              <w:rPr>
                <w:b/>
                <w:color w:val="FFFFFF"/>
                <w:sz w:val="19"/>
              </w:rPr>
              <w:t>2023</w:t>
            </w:r>
          </w:p>
        </w:tc>
        <w:tc>
          <w:tcPr>
            <w:tcW w:w="1568" w:type="dxa"/>
            <w:shd w:val="clear" w:color="auto" w:fill="333333"/>
          </w:tcPr>
          <w:p w14:paraId="28967540" w14:textId="77777777" w:rsidR="00680716" w:rsidRDefault="00000000">
            <w:r>
              <w:rPr>
                <w:b/>
                <w:color w:val="FFFFFF"/>
                <w:sz w:val="19"/>
              </w:rPr>
              <w:t>2024</w:t>
            </w:r>
          </w:p>
        </w:tc>
        <w:tc>
          <w:tcPr>
            <w:tcW w:w="1568" w:type="dxa"/>
            <w:shd w:val="clear" w:color="auto" w:fill="333333"/>
          </w:tcPr>
          <w:p w14:paraId="2F1CD026" w14:textId="77777777" w:rsidR="00680716" w:rsidRDefault="00000000">
            <w:r>
              <w:rPr>
                <w:b/>
                <w:color w:val="FFFFFF"/>
                <w:sz w:val="19"/>
              </w:rPr>
              <w:t>2025</w:t>
            </w:r>
          </w:p>
        </w:tc>
        <w:tc>
          <w:tcPr>
            <w:tcW w:w="1568" w:type="dxa"/>
            <w:shd w:val="clear" w:color="auto" w:fill="333333"/>
          </w:tcPr>
          <w:p w14:paraId="7F6A089C" w14:textId="77777777" w:rsidR="00680716" w:rsidRDefault="00000000">
            <w:r>
              <w:rPr>
                <w:b/>
                <w:color w:val="FFFFFF"/>
                <w:sz w:val="19"/>
              </w:rPr>
              <w:t>2026 H1</w:t>
            </w:r>
          </w:p>
        </w:tc>
      </w:tr>
      <w:tr w:rsidR="00680716" w14:paraId="0909270C" w14:textId="77777777">
        <w:trPr>
          <w:jc w:val="center"/>
        </w:trPr>
        <w:tc>
          <w:tcPr>
            <w:tcW w:w="1568" w:type="dxa"/>
          </w:tcPr>
          <w:p w14:paraId="25CB0233" w14:textId="77777777" w:rsidR="00680716" w:rsidRDefault="00000000">
            <w:r>
              <w:rPr>
                <w:i/>
                <w:color w:val="8C8C8C"/>
                <w:sz w:val="19"/>
              </w:rPr>
              <w:t>[to be completed]</w:t>
            </w:r>
          </w:p>
        </w:tc>
        <w:tc>
          <w:tcPr>
            <w:tcW w:w="1568" w:type="dxa"/>
          </w:tcPr>
          <w:p w14:paraId="78201A51" w14:textId="77777777" w:rsidR="00680716" w:rsidRDefault="00680716"/>
        </w:tc>
        <w:tc>
          <w:tcPr>
            <w:tcW w:w="1568" w:type="dxa"/>
          </w:tcPr>
          <w:p w14:paraId="029E93AF" w14:textId="77777777" w:rsidR="00680716" w:rsidRDefault="00680716"/>
        </w:tc>
        <w:tc>
          <w:tcPr>
            <w:tcW w:w="1568" w:type="dxa"/>
          </w:tcPr>
          <w:p w14:paraId="1894569A" w14:textId="77777777" w:rsidR="00680716" w:rsidRDefault="00680716"/>
        </w:tc>
        <w:tc>
          <w:tcPr>
            <w:tcW w:w="1568" w:type="dxa"/>
          </w:tcPr>
          <w:p w14:paraId="0DCB0401" w14:textId="77777777" w:rsidR="00680716" w:rsidRDefault="00680716"/>
        </w:tc>
        <w:tc>
          <w:tcPr>
            <w:tcW w:w="1568" w:type="dxa"/>
          </w:tcPr>
          <w:p w14:paraId="40654B5E" w14:textId="77777777" w:rsidR="00680716" w:rsidRDefault="00680716"/>
        </w:tc>
      </w:tr>
      <w:tr w:rsidR="00680716" w14:paraId="5C33814F" w14:textId="77777777">
        <w:trPr>
          <w:jc w:val="center"/>
        </w:trPr>
        <w:tc>
          <w:tcPr>
            <w:tcW w:w="1568" w:type="dxa"/>
          </w:tcPr>
          <w:p w14:paraId="3F2BBF4A" w14:textId="77777777" w:rsidR="00680716" w:rsidRDefault="00680716"/>
        </w:tc>
        <w:tc>
          <w:tcPr>
            <w:tcW w:w="1568" w:type="dxa"/>
          </w:tcPr>
          <w:p w14:paraId="0C56621D" w14:textId="77777777" w:rsidR="00680716" w:rsidRDefault="00680716"/>
        </w:tc>
        <w:tc>
          <w:tcPr>
            <w:tcW w:w="1568" w:type="dxa"/>
          </w:tcPr>
          <w:p w14:paraId="68FE990C" w14:textId="77777777" w:rsidR="00680716" w:rsidRDefault="00680716"/>
        </w:tc>
        <w:tc>
          <w:tcPr>
            <w:tcW w:w="1568" w:type="dxa"/>
          </w:tcPr>
          <w:p w14:paraId="0A424923" w14:textId="77777777" w:rsidR="00680716" w:rsidRDefault="00680716"/>
        </w:tc>
        <w:tc>
          <w:tcPr>
            <w:tcW w:w="1568" w:type="dxa"/>
          </w:tcPr>
          <w:p w14:paraId="2BFC8D25" w14:textId="77777777" w:rsidR="00680716" w:rsidRDefault="00680716"/>
        </w:tc>
        <w:tc>
          <w:tcPr>
            <w:tcW w:w="1568" w:type="dxa"/>
          </w:tcPr>
          <w:p w14:paraId="12BF9E95" w14:textId="77777777" w:rsidR="00680716" w:rsidRDefault="00680716"/>
        </w:tc>
      </w:tr>
      <w:tr w:rsidR="00680716" w14:paraId="069886C5" w14:textId="77777777">
        <w:trPr>
          <w:jc w:val="center"/>
        </w:trPr>
        <w:tc>
          <w:tcPr>
            <w:tcW w:w="1568" w:type="dxa"/>
          </w:tcPr>
          <w:p w14:paraId="3EF4A2F8" w14:textId="77777777" w:rsidR="00680716" w:rsidRDefault="00680716"/>
        </w:tc>
        <w:tc>
          <w:tcPr>
            <w:tcW w:w="1568" w:type="dxa"/>
          </w:tcPr>
          <w:p w14:paraId="4A1CD3D1" w14:textId="77777777" w:rsidR="00680716" w:rsidRDefault="00680716"/>
        </w:tc>
        <w:tc>
          <w:tcPr>
            <w:tcW w:w="1568" w:type="dxa"/>
          </w:tcPr>
          <w:p w14:paraId="4EF6DCF4" w14:textId="77777777" w:rsidR="00680716" w:rsidRDefault="00680716"/>
        </w:tc>
        <w:tc>
          <w:tcPr>
            <w:tcW w:w="1568" w:type="dxa"/>
          </w:tcPr>
          <w:p w14:paraId="6F876949" w14:textId="77777777" w:rsidR="00680716" w:rsidRDefault="00680716"/>
        </w:tc>
        <w:tc>
          <w:tcPr>
            <w:tcW w:w="1568" w:type="dxa"/>
          </w:tcPr>
          <w:p w14:paraId="38DEFDE5" w14:textId="77777777" w:rsidR="00680716" w:rsidRDefault="00680716"/>
        </w:tc>
        <w:tc>
          <w:tcPr>
            <w:tcW w:w="1568" w:type="dxa"/>
          </w:tcPr>
          <w:p w14:paraId="5DBF1514" w14:textId="77777777" w:rsidR="00680716" w:rsidRDefault="00680716"/>
        </w:tc>
      </w:tr>
      <w:tr w:rsidR="00680716" w14:paraId="1E6AAB10" w14:textId="77777777">
        <w:trPr>
          <w:jc w:val="center"/>
        </w:trPr>
        <w:tc>
          <w:tcPr>
            <w:tcW w:w="1568" w:type="dxa"/>
          </w:tcPr>
          <w:p w14:paraId="2476F9A0" w14:textId="77777777" w:rsidR="00680716" w:rsidRDefault="00680716"/>
        </w:tc>
        <w:tc>
          <w:tcPr>
            <w:tcW w:w="1568" w:type="dxa"/>
          </w:tcPr>
          <w:p w14:paraId="03534299" w14:textId="77777777" w:rsidR="00680716" w:rsidRDefault="00680716"/>
        </w:tc>
        <w:tc>
          <w:tcPr>
            <w:tcW w:w="1568" w:type="dxa"/>
          </w:tcPr>
          <w:p w14:paraId="2C2EA866" w14:textId="77777777" w:rsidR="00680716" w:rsidRDefault="00680716"/>
        </w:tc>
        <w:tc>
          <w:tcPr>
            <w:tcW w:w="1568" w:type="dxa"/>
          </w:tcPr>
          <w:p w14:paraId="14FF091B" w14:textId="77777777" w:rsidR="00680716" w:rsidRDefault="00680716"/>
        </w:tc>
        <w:tc>
          <w:tcPr>
            <w:tcW w:w="1568" w:type="dxa"/>
          </w:tcPr>
          <w:p w14:paraId="170D1632" w14:textId="77777777" w:rsidR="00680716" w:rsidRDefault="00680716"/>
        </w:tc>
        <w:tc>
          <w:tcPr>
            <w:tcW w:w="1568" w:type="dxa"/>
          </w:tcPr>
          <w:p w14:paraId="6C193748" w14:textId="77777777" w:rsidR="00680716" w:rsidRDefault="00680716"/>
        </w:tc>
      </w:tr>
      <w:tr w:rsidR="00680716" w14:paraId="585D58AE" w14:textId="77777777">
        <w:trPr>
          <w:jc w:val="center"/>
        </w:trPr>
        <w:tc>
          <w:tcPr>
            <w:tcW w:w="1568" w:type="dxa"/>
          </w:tcPr>
          <w:p w14:paraId="7D31397C" w14:textId="77777777" w:rsidR="00680716" w:rsidRDefault="00680716"/>
        </w:tc>
        <w:tc>
          <w:tcPr>
            <w:tcW w:w="1568" w:type="dxa"/>
          </w:tcPr>
          <w:p w14:paraId="64773E7C" w14:textId="77777777" w:rsidR="00680716" w:rsidRDefault="00680716"/>
        </w:tc>
        <w:tc>
          <w:tcPr>
            <w:tcW w:w="1568" w:type="dxa"/>
          </w:tcPr>
          <w:p w14:paraId="4DA4FF60" w14:textId="77777777" w:rsidR="00680716" w:rsidRDefault="00680716"/>
        </w:tc>
        <w:tc>
          <w:tcPr>
            <w:tcW w:w="1568" w:type="dxa"/>
          </w:tcPr>
          <w:p w14:paraId="4DE5E808" w14:textId="77777777" w:rsidR="00680716" w:rsidRDefault="00680716"/>
        </w:tc>
        <w:tc>
          <w:tcPr>
            <w:tcW w:w="1568" w:type="dxa"/>
          </w:tcPr>
          <w:p w14:paraId="080352CD" w14:textId="77777777" w:rsidR="00680716" w:rsidRDefault="00680716"/>
        </w:tc>
        <w:tc>
          <w:tcPr>
            <w:tcW w:w="1568" w:type="dxa"/>
          </w:tcPr>
          <w:p w14:paraId="028C386D" w14:textId="77777777" w:rsidR="00680716" w:rsidRDefault="00680716"/>
        </w:tc>
      </w:tr>
      <w:tr w:rsidR="00680716" w14:paraId="576169A2" w14:textId="77777777">
        <w:trPr>
          <w:jc w:val="center"/>
        </w:trPr>
        <w:tc>
          <w:tcPr>
            <w:tcW w:w="1568" w:type="dxa"/>
          </w:tcPr>
          <w:p w14:paraId="101FF610" w14:textId="77777777" w:rsidR="00680716" w:rsidRDefault="00680716"/>
        </w:tc>
        <w:tc>
          <w:tcPr>
            <w:tcW w:w="1568" w:type="dxa"/>
          </w:tcPr>
          <w:p w14:paraId="352F8F0B" w14:textId="77777777" w:rsidR="00680716" w:rsidRDefault="00680716"/>
        </w:tc>
        <w:tc>
          <w:tcPr>
            <w:tcW w:w="1568" w:type="dxa"/>
          </w:tcPr>
          <w:p w14:paraId="7C8F5A8E" w14:textId="77777777" w:rsidR="00680716" w:rsidRDefault="00680716"/>
        </w:tc>
        <w:tc>
          <w:tcPr>
            <w:tcW w:w="1568" w:type="dxa"/>
          </w:tcPr>
          <w:p w14:paraId="2291F751" w14:textId="77777777" w:rsidR="00680716" w:rsidRDefault="00680716"/>
        </w:tc>
        <w:tc>
          <w:tcPr>
            <w:tcW w:w="1568" w:type="dxa"/>
          </w:tcPr>
          <w:p w14:paraId="54C9B079" w14:textId="77777777" w:rsidR="00680716" w:rsidRDefault="00680716"/>
        </w:tc>
        <w:tc>
          <w:tcPr>
            <w:tcW w:w="1568" w:type="dxa"/>
          </w:tcPr>
          <w:p w14:paraId="5883E7D3" w14:textId="77777777" w:rsidR="00680716" w:rsidRDefault="00680716"/>
        </w:tc>
      </w:tr>
    </w:tbl>
    <w:p w14:paraId="4F1E5FD7" w14:textId="77777777" w:rsidR="00680716" w:rsidRDefault="00000000">
      <w:r>
        <w:rPr>
          <w:i/>
          <w:color w:val="8C8C8C"/>
          <w:sz w:val="17"/>
        </w:rPr>
        <w:t>Profitability (ROE, ROA, ROIC) · Liquidity (current ratio) · Solvency (Net debt/EBITDA, Debt/Equity) · Efficiency (asset turnover).</w:t>
      </w:r>
    </w:p>
    <w:p w14:paraId="5B4F9BD6" w14:textId="77777777" w:rsidR="00680716" w:rsidRDefault="00680716"/>
    <w:p w14:paraId="181A4DB1" w14:textId="77777777" w:rsidR="00680716" w:rsidRDefault="00000000">
      <w:pPr>
        <w:pStyle w:val="Ttulo2"/>
      </w:pPr>
      <w:r>
        <w:t>4.5 Conclusions from the financial analysis</w:t>
      </w:r>
    </w:p>
    <w:p w14:paraId="442336D3" w14:textId="77777777" w:rsidR="00680716" w:rsidRDefault="00000000">
      <w:r>
        <w:rPr>
          <w:i/>
          <w:color w:val="8C8C8C"/>
          <w:sz w:val="20"/>
        </w:rPr>
        <w:t>Summary of strengths and weaknesses identified across the income statement, balance sheet and cash flow, linking back to the causes identified in Section 3 (geopolitical environment) and feeding into the DCF inputs in Section 6.</w:t>
      </w:r>
    </w:p>
    <w:p w14:paraId="15FB06FC" w14:textId="77777777" w:rsidR="00680716" w:rsidRDefault="00000000">
      <w:pPr>
        <w:pStyle w:val="Ttulo1"/>
      </w:pPr>
      <w:r>
        <w:t>5. New Projects and Growth Strategy</w:t>
      </w:r>
    </w:p>
    <w:p w14:paraId="5A47AC37" w14:textId="7E584692" w:rsidR="00680716" w:rsidRDefault="00000000">
      <w:r>
        <w:rPr>
          <w:i/>
          <w:color w:val="8C8C8C"/>
          <w:sz w:val="20"/>
        </w:rPr>
        <w:t>Research and document the projects underpinning future production growth — these inputs feed the revenue growth and CAPEX assumptions in the DCF model (Section 6.3).</w:t>
      </w:r>
    </w:p>
    <w:p w14:paraId="0AA69C71" w14:textId="77777777" w:rsidR="00680716" w:rsidRDefault="00000000">
      <w:pPr>
        <w:pStyle w:val="Ttulo2"/>
      </w:pPr>
      <w:r>
        <w:t>5.1 Vostok Oil project</w:t>
      </w:r>
    </w:p>
    <w:p w14:paraId="34CC4217" w14:textId="77777777" w:rsidR="00680716" w:rsidRDefault="00000000">
      <w:pPr>
        <w:pStyle w:val="Listaconvietas"/>
        <w:ind w:left="567"/>
      </w:pPr>
      <w:r>
        <w:rPr>
          <w:color w:val="333333"/>
          <w:sz w:val="21"/>
        </w:rPr>
        <w:t>Description, estimated reserves, development timeline and targeted production capacity.</w:t>
      </w:r>
    </w:p>
    <w:p w14:paraId="1B10382F" w14:textId="77777777" w:rsidR="00680716" w:rsidRDefault="00000000">
      <w:pPr>
        <w:pStyle w:val="Listaconvietas"/>
        <w:ind w:left="567"/>
      </w:pPr>
      <w:r>
        <w:rPr>
          <w:color w:val="333333"/>
          <w:sz w:val="21"/>
        </w:rPr>
        <w:t>Financing structure and investors (including international partners, where applicable).</w:t>
      </w:r>
    </w:p>
    <w:p w14:paraId="58483605" w14:textId="77777777" w:rsidR="00680716" w:rsidRDefault="00000000">
      <w:pPr>
        <w:pStyle w:val="Listaconvietas"/>
        <w:ind w:left="567"/>
      </w:pPr>
      <w:r>
        <w:rPr>
          <w:color w:val="333333"/>
          <w:sz w:val="21"/>
        </w:rPr>
        <w:t>Execution risks: Arctic logistics, access to Western technology post-sanctions.</w:t>
      </w:r>
    </w:p>
    <w:p w14:paraId="654D3A93" w14:textId="77777777" w:rsidR="00680716" w:rsidRDefault="00000000">
      <w:pPr>
        <w:pStyle w:val="Ttulo2"/>
      </w:pPr>
      <w:r>
        <w:t>5.2 Exploration &amp; Production (E&amp;P)</w:t>
      </w:r>
    </w:p>
    <w:p w14:paraId="5ECD14A8" w14:textId="77777777" w:rsidR="00680716" w:rsidRDefault="00000000">
      <w:r>
        <w:rPr>
          <w:i/>
          <w:color w:val="8C8C8C"/>
          <w:sz w:val="20"/>
        </w:rPr>
        <w:t>Other relevant projects: Arctic, Eastern Siberia, Sakhalin-1, natural gas fields, and evolution of proved reserves (2P/3P).</w:t>
      </w:r>
    </w:p>
    <w:p w14:paraId="7C9E6983" w14:textId="77777777" w:rsidR="00680716" w:rsidRDefault="00000000">
      <w:pPr>
        <w:pStyle w:val="Ttulo2"/>
      </w:pPr>
      <w:r>
        <w:lastRenderedPageBreak/>
        <w:t>5.3 Refining, petrochemicals and logistics infrastructure</w:t>
      </w:r>
    </w:p>
    <w:p w14:paraId="6442C9CA" w14:textId="77777777" w:rsidR="00680716" w:rsidRDefault="00000000">
      <w:r>
        <w:rPr>
          <w:i/>
          <w:color w:val="8C8C8C"/>
          <w:sz w:val="20"/>
        </w:rPr>
        <w:t>Refining capacity expansion projects, petrochemical complexes and export terminals (pipelines, ports), relevant to the Urals-Brent spread (Section 3.2).</w:t>
      </w:r>
    </w:p>
    <w:p w14:paraId="71442651" w14:textId="77777777" w:rsidR="00680716" w:rsidRDefault="00000000">
      <w:pPr>
        <w:pStyle w:val="Ttulo2"/>
      </w:pPr>
      <w:r>
        <w:t>5.4 International cooperation and new markets</w:t>
      </w:r>
    </w:p>
    <w:p w14:paraId="5E7EECC2" w14:textId="77777777" w:rsidR="00680716" w:rsidRDefault="00000000">
      <w:r>
        <w:rPr>
          <w:i/>
          <w:color w:val="8C8C8C"/>
          <w:sz w:val="20"/>
        </w:rPr>
        <w:t>Agreements with China (CNPC), India and other Asian markets; long-term supply contracts replacing lost European demand.</w:t>
      </w:r>
    </w:p>
    <w:p w14:paraId="464DA7B7" w14:textId="77777777" w:rsidR="00680716" w:rsidRDefault="00000000">
      <w:pPr>
        <w:pStyle w:val="Ttulo2"/>
      </w:pPr>
      <w:r>
        <w:t>5.5 Energy transition and low-carbon initiatives</w:t>
      </w:r>
    </w:p>
    <w:p w14:paraId="2C27FE22" w14:textId="77777777" w:rsidR="00680716" w:rsidRDefault="00000000">
      <w:r>
        <w:rPr>
          <w:i/>
          <w:color w:val="8C8C8C"/>
          <w:sz w:val="20"/>
        </w:rPr>
        <w:t>Emissions reduction initiatives, carbon capture and energy diversification, and their (limited or not) relevance to the investment thesis.</w:t>
      </w:r>
    </w:p>
    <w:p w14:paraId="154D3259" w14:textId="77777777" w:rsidR="00680716" w:rsidRDefault="00000000">
      <w:pPr>
        <w:pStyle w:val="Ttulo1"/>
      </w:pPr>
      <w:r>
        <w:t>6. Discounted Cash Flow (DCF) Valuation</w:t>
      </w:r>
    </w:p>
    <w:p w14:paraId="4D914B8F" w14:textId="77777777" w:rsidR="00680716" w:rsidRDefault="00000000">
      <w:r>
        <w:rPr>
          <w:i/>
          <w:color w:val="8C8C8C"/>
          <w:sz w:val="20"/>
        </w:rPr>
        <w:t>Basis: Rosneft_DCF.xlsx model. This section should translate the logic and results of the Excel model into the report — not merely reproduce figures, but justify each assumption.</w:t>
      </w:r>
    </w:p>
    <w:p w14:paraId="5A0C94E0" w14:textId="77777777" w:rsidR="00680716" w:rsidRDefault="00000000">
      <w:pPr>
        <w:pStyle w:val="Ttulo2"/>
      </w:pPr>
      <w:r>
        <w:t>6.1 Methodology and key assumptions</w:t>
      </w:r>
    </w:p>
    <w:p w14:paraId="25EEA27A" w14:textId="0E5A9BAA" w:rsidR="00511390" w:rsidRDefault="00511390" w:rsidP="00511390">
      <w:pPr>
        <w:pStyle w:val="Prrafodelista"/>
        <w:numPr>
          <w:ilvl w:val="0"/>
          <w:numId w:val="12"/>
        </w:numPr>
      </w:pPr>
      <w:r>
        <w:t xml:space="preserve">To develop this DCF I did some assumptions as well I calculated the </w:t>
      </w:r>
      <w:r w:rsidR="00AC7EF4">
        <w:t>Country</w:t>
      </w:r>
      <w:r>
        <w:t xml:space="preserve"> Risk Premium (CRP) to discount the valuation according to the current situation that Russia is facing. </w:t>
      </w:r>
    </w:p>
    <w:p w14:paraId="34BE0985" w14:textId="7A10A493" w:rsidR="00511390" w:rsidRDefault="00511390" w:rsidP="00511390">
      <w:pPr>
        <w:pStyle w:val="Prrafodelista"/>
        <w:numPr>
          <w:ilvl w:val="0"/>
          <w:numId w:val="12"/>
        </w:numPr>
      </w:pPr>
      <w:r>
        <w:t xml:space="preserve">Due the current situation of the country, some data is </w:t>
      </w:r>
      <w:r w:rsidR="00EF757A">
        <w:t>no longer</w:t>
      </w:r>
      <w:r>
        <w:t xml:space="preserve"> </w:t>
      </w:r>
      <w:r w:rsidR="00EF757A">
        <w:t>avaible. After the Russian sanctions began in 2022 and under two related decrees, the Russian government allows certain special sector in Russia to withhold information that normally had to be publicly disclosed.</w:t>
      </w:r>
    </w:p>
    <w:p w14:paraId="24B36A94" w14:textId="77777777" w:rsidR="00EF757A" w:rsidRPr="00511390" w:rsidRDefault="00EF757A" w:rsidP="00EF757A">
      <w:pPr>
        <w:pStyle w:val="Prrafodelista"/>
      </w:pPr>
    </w:p>
    <w:p w14:paraId="0056386D" w14:textId="001E43CA" w:rsidR="00680716" w:rsidRDefault="00000000" w:rsidP="00EF757A">
      <w:pPr>
        <w:pStyle w:val="Ttulo2"/>
      </w:pPr>
      <w:r>
        <w:t>6.2 WACC calculation</w:t>
      </w:r>
    </w:p>
    <w:tbl>
      <w:tblPr>
        <w:tblStyle w:val="Tablaconcuadrcula"/>
        <w:tblW w:w="0" w:type="auto"/>
        <w:jc w:val="center"/>
        <w:tblLook w:val="04A0" w:firstRow="1" w:lastRow="0" w:firstColumn="1" w:lastColumn="0" w:noHBand="0" w:noVBand="1"/>
      </w:tblPr>
      <w:tblGrid>
        <w:gridCol w:w="3135"/>
        <w:gridCol w:w="3135"/>
        <w:gridCol w:w="3135"/>
      </w:tblGrid>
      <w:tr w:rsidR="00680716" w14:paraId="4A03C9EB" w14:textId="77777777">
        <w:trPr>
          <w:jc w:val="center"/>
        </w:trPr>
        <w:tc>
          <w:tcPr>
            <w:tcW w:w="3135" w:type="dxa"/>
            <w:shd w:val="clear" w:color="auto" w:fill="333333"/>
          </w:tcPr>
          <w:p w14:paraId="06BF6F04" w14:textId="77777777" w:rsidR="00680716" w:rsidRDefault="00000000">
            <w:r>
              <w:rPr>
                <w:b/>
                <w:color w:val="FFFFFF"/>
                <w:sz w:val="19"/>
              </w:rPr>
              <w:t>Component</w:t>
            </w:r>
          </w:p>
        </w:tc>
        <w:tc>
          <w:tcPr>
            <w:tcW w:w="3135" w:type="dxa"/>
            <w:shd w:val="clear" w:color="auto" w:fill="333333"/>
          </w:tcPr>
          <w:p w14:paraId="79128F85" w14:textId="77777777" w:rsidR="00680716" w:rsidRDefault="00000000">
            <w:r>
              <w:rPr>
                <w:b/>
                <w:color w:val="FFFFFF"/>
                <w:sz w:val="19"/>
              </w:rPr>
              <w:t>Model value</w:t>
            </w:r>
          </w:p>
        </w:tc>
        <w:tc>
          <w:tcPr>
            <w:tcW w:w="3135" w:type="dxa"/>
            <w:shd w:val="clear" w:color="auto" w:fill="333333"/>
          </w:tcPr>
          <w:p w14:paraId="5818C9D5" w14:textId="77777777" w:rsidR="00680716" w:rsidRDefault="00000000">
            <w:r>
              <w:rPr>
                <w:b/>
                <w:color w:val="FFFFFF"/>
                <w:sz w:val="19"/>
              </w:rPr>
              <w:t>Comment / justification</w:t>
            </w:r>
          </w:p>
        </w:tc>
      </w:tr>
      <w:tr w:rsidR="00680716" w14:paraId="1C4590F1" w14:textId="77777777">
        <w:trPr>
          <w:jc w:val="center"/>
        </w:trPr>
        <w:tc>
          <w:tcPr>
            <w:tcW w:w="3135" w:type="dxa"/>
          </w:tcPr>
          <w:p w14:paraId="0E661889" w14:textId="0E112875" w:rsidR="00680716" w:rsidRDefault="00EF757A">
            <w:r>
              <w:t xml:space="preserve">Beta </w:t>
            </w:r>
          </w:p>
        </w:tc>
        <w:tc>
          <w:tcPr>
            <w:tcW w:w="3135" w:type="dxa"/>
          </w:tcPr>
          <w:p w14:paraId="7DC80347" w14:textId="55BD43D4" w:rsidR="00680716" w:rsidRDefault="00EF757A">
            <w:r>
              <w:t>The beta has been obtained in a classical way. Dividing covariance between the asset and the market portfolio (U.S based)</w:t>
            </w:r>
          </w:p>
        </w:tc>
        <w:tc>
          <w:tcPr>
            <w:tcW w:w="3135" w:type="dxa"/>
          </w:tcPr>
          <w:p w14:paraId="0F23EF36" w14:textId="301B8176" w:rsidR="00AC7EF4" w:rsidRPr="00AC7EF4" w:rsidRDefault="00EF757A">
            <w:pPr>
              <w:rPr>
                <w:sz w:val="18"/>
                <w:szCs w:val="18"/>
              </w:rPr>
            </w:pPr>
            <w:r w:rsidRPr="00AC7EF4">
              <w:rPr>
                <w:sz w:val="18"/>
                <w:szCs w:val="18"/>
              </w:rPr>
              <w:t>Although Rosneft is a Russian company, the</w:t>
            </w:r>
            <w:r w:rsidRPr="00AC7EF4">
              <w:rPr>
                <w:sz w:val="18"/>
                <w:szCs w:val="18"/>
              </w:rPr>
              <w:t xml:space="preserve"> preference for a US benchmark is rooted in addressing these statistical and economic distortions.</w:t>
            </w:r>
            <w:r w:rsidR="00AC7EF4" w:rsidRPr="00AC7EF4">
              <w:rPr>
                <w:sz w:val="18"/>
                <w:szCs w:val="18"/>
              </w:rPr>
              <w:t xml:space="preserve"> (combined with Country Risk Premium)</w:t>
            </w:r>
          </w:p>
          <w:p w14:paraId="7D32ADE1" w14:textId="1E0929CF" w:rsidR="00680716" w:rsidRPr="00AC7EF4" w:rsidRDefault="003755C7">
            <w:pPr>
              <w:rPr>
                <w:sz w:val="18"/>
                <w:szCs w:val="18"/>
              </w:rPr>
            </w:pPr>
            <w:r w:rsidRPr="00AC7EF4">
              <w:rPr>
                <w:sz w:val="18"/>
                <w:szCs w:val="18"/>
              </w:rPr>
              <w:t>Basically,</w:t>
            </w:r>
            <w:r w:rsidR="00AC7EF4" w:rsidRPr="00AC7EF4">
              <w:rPr>
                <w:sz w:val="18"/>
                <w:szCs w:val="18"/>
              </w:rPr>
              <w:t xml:space="preserve"> doing this we </w:t>
            </w:r>
            <w:r w:rsidR="00AC7EF4" w:rsidRPr="00AC7EF4">
              <w:rPr>
                <w:sz w:val="18"/>
                <w:szCs w:val="18"/>
              </w:rPr>
              <w:t xml:space="preserve">are measuring how its stock price reacts to global market factors. </w:t>
            </w:r>
          </w:p>
        </w:tc>
      </w:tr>
      <w:tr w:rsidR="00680716" w14:paraId="645CEAA7" w14:textId="77777777">
        <w:trPr>
          <w:jc w:val="center"/>
        </w:trPr>
        <w:tc>
          <w:tcPr>
            <w:tcW w:w="3135" w:type="dxa"/>
          </w:tcPr>
          <w:p w14:paraId="33D63F4C" w14:textId="4269F27D" w:rsidR="00680716" w:rsidRDefault="003755C7">
            <w:r>
              <w:t xml:space="preserve">Market Risk Premium </w:t>
            </w:r>
          </w:p>
        </w:tc>
        <w:tc>
          <w:tcPr>
            <w:tcW w:w="3135" w:type="dxa"/>
          </w:tcPr>
          <w:p w14:paraId="3D4726F8" w14:textId="77777777" w:rsidR="00680716" w:rsidRDefault="00680716"/>
        </w:tc>
        <w:tc>
          <w:tcPr>
            <w:tcW w:w="3135" w:type="dxa"/>
          </w:tcPr>
          <w:p w14:paraId="6DAEC232" w14:textId="77777777" w:rsidR="00680716" w:rsidRDefault="00680716"/>
        </w:tc>
      </w:tr>
      <w:tr w:rsidR="00680716" w14:paraId="45EEF0EA" w14:textId="77777777">
        <w:trPr>
          <w:jc w:val="center"/>
        </w:trPr>
        <w:tc>
          <w:tcPr>
            <w:tcW w:w="3135" w:type="dxa"/>
          </w:tcPr>
          <w:p w14:paraId="5BA2F77C" w14:textId="0DD0E662" w:rsidR="00680716" w:rsidRDefault="003755C7">
            <w:r>
              <w:t>Country Risk Premium</w:t>
            </w:r>
          </w:p>
        </w:tc>
        <w:tc>
          <w:tcPr>
            <w:tcW w:w="3135" w:type="dxa"/>
          </w:tcPr>
          <w:p w14:paraId="15FD42B1" w14:textId="4A831329" w:rsidR="00680716" w:rsidRDefault="002050FE">
            <w:r w:rsidRPr="002050FE">
              <w:rPr>
                <w:sz w:val="18"/>
                <w:szCs w:val="18"/>
              </w:rPr>
              <w:t xml:space="preserve">Damodaran approach ( corporate spread </w:t>
            </w:r>
            <w:r>
              <w:rPr>
                <w:sz w:val="18"/>
                <w:szCs w:val="18"/>
              </w:rPr>
              <w:t>* (sigma stock / sigma bond))</w:t>
            </w:r>
          </w:p>
        </w:tc>
        <w:tc>
          <w:tcPr>
            <w:tcW w:w="3135" w:type="dxa"/>
          </w:tcPr>
          <w:p w14:paraId="2FF43055" w14:textId="77777777" w:rsidR="00680716" w:rsidRDefault="00680716"/>
        </w:tc>
      </w:tr>
      <w:tr w:rsidR="00680716" w14:paraId="4E5DC25B" w14:textId="77777777">
        <w:trPr>
          <w:jc w:val="center"/>
        </w:trPr>
        <w:tc>
          <w:tcPr>
            <w:tcW w:w="3135" w:type="dxa"/>
          </w:tcPr>
          <w:p w14:paraId="7A9D1825" w14:textId="77777777" w:rsidR="00680716" w:rsidRDefault="00680716"/>
        </w:tc>
        <w:tc>
          <w:tcPr>
            <w:tcW w:w="3135" w:type="dxa"/>
          </w:tcPr>
          <w:p w14:paraId="77B44D28" w14:textId="77777777" w:rsidR="00680716" w:rsidRDefault="00680716"/>
        </w:tc>
        <w:tc>
          <w:tcPr>
            <w:tcW w:w="3135" w:type="dxa"/>
          </w:tcPr>
          <w:p w14:paraId="5B00F256" w14:textId="77777777" w:rsidR="00680716" w:rsidRDefault="00680716"/>
        </w:tc>
      </w:tr>
      <w:tr w:rsidR="00680716" w14:paraId="1AD84408" w14:textId="77777777">
        <w:trPr>
          <w:jc w:val="center"/>
        </w:trPr>
        <w:tc>
          <w:tcPr>
            <w:tcW w:w="3135" w:type="dxa"/>
          </w:tcPr>
          <w:p w14:paraId="7DF5F339" w14:textId="77777777" w:rsidR="00680716" w:rsidRDefault="00680716"/>
        </w:tc>
        <w:tc>
          <w:tcPr>
            <w:tcW w:w="3135" w:type="dxa"/>
          </w:tcPr>
          <w:p w14:paraId="5F80CD90" w14:textId="77777777" w:rsidR="00680716" w:rsidRDefault="00680716"/>
        </w:tc>
        <w:tc>
          <w:tcPr>
            <w:tcW w:w="3135" w:type="dxa"/>
          </w:tcPr>
          <w:p w14:paraId="6B5AF0E4" w14:textId="77777777" w:rsidR="00680716" w:rsidRDefault="00680716"/>
        </w:tc>
      </w:tr>
      <w:tr w:rsidR="00680716" w14:paraId="49BA51C3" w14:textId="77777777">
        <w:trPr>
          <w:jc w:val="center"/>
        </w:trPr>
        <w:tc>
          <w:tcPr>
            <w:tcW w:w="3135" w:type="dxa"/>
          </w:tcPr>
          <w:p w14:paraId="75B69B47" w14:textId="77777777" w:rsidR="00680716" w:rsidRDefault="00680716"/>
        </w:tc>
        <w:tc>
          <w:tcPr>
            <w:tcW w:w="3135" w:type="dxa"/>
          </w:tcPr>
          <w:p w14:paraId="796FF1B8" w14:textId="77777777" w:rsidR="00680716" w:rsidRDefault="00680716"/>
        </w:tc>
        <w:tc>
          <w:tcPr>
            <w:tcW w:w="3135" w:type="dxa"/>
          </w:tcPr>
          <w:p w14:paraId="569914A8" w14:textId="77777777" w:rsidR="00680716" w:rsidRDefault="00680716"/>
        </w:tc>
      </w:tr>
      <w:tr w:rsidR="00680716" w14:paraId="5AB88DB4" w14:textId="77777777">
        <w:trPr>
          <w:jc w:val="center"/>
        </w:trPr>
        <w:tc>
          <w:tcPr>
            <w:tcW w:w="3135" w:type="dxa"/>
          </w:tcPr>
          <w:p w14:paraId="0BDF92CA" w14:textId="77777777" w:rsidR="00680716" w:rsidRDefault="00680716"/>
        </w:tc>
        <w:tc>
          <w:tcPr>
            <w:tcW w:w="3135" w:type="dxa"/>
          </w:tcPr>
          <w:p w14:paraId="1B0F06E8" w14:textId="77777777" w:rsidR="00680716" w:rsidRDefault="00680716"/>
        </w:tc>
        <w:tc>
          <w:tcPr>
            <w:tcW w:w="3135" w:type="dxa"/>
          </w:tcPr>
          <w:p w14:paraId="2A88BC9D" w14:textId="77777777" w:rsidR="00680716" w:rsidRDefault="00680716"/>
        </w:tc>
      </w:tr>
      <w:tr w:rsidR="00680716" w14:paraId="454C77F1" w14:textId="77777777">
        <w:trPr>
          <w:jc w:val="center"/>
        </w:trPr>
        <w:tc>
          <w:tcPr>
            <w:tcW w:w="3135" w:type="dxa"/>
          </w:tcPr>
          <w:p w14:paraId="752114D8" w14:textId="77777777" w:rsidR="00680716" w:rsidRDefault="00680716"/>
        </w:tc>
        <w:tc>
          <w:tcPr>
            <w:tcW w:w="3135" w:type="dxa"/>
          </w:tcPr>
          <w:p w14:paraId="1129963C" w14:textId="77777777" w:rsidR="00680716" w:rsidRDefault="00680716"/>
        </w:tc>
        <w:tc>
          <w:tcPr>
            <w:tcW w:w="3135" w:type="dxa"/>
          </w:tcPr>
          <w:p w14:paraId="037547B4" w14:textId="77777777" w:rsidR="00680716" w:rsidRDefault="00680716"/>
        </w:tc>
      </w:tr>
    </w:tbl>
    <w:p w14:paraId="21A23131" w14:textId="77777777" w:rsidR="00680716" w:rsidRDefault="00000000">
      <w:r>
        <w:rPr>
          <w:i/>
          <w:color w:val="8C8C8C"/>
          <w:sz w:val="17"/>
        </w:rPr>
        <w:t>Complete with: Cost of debt, Tax rate, After-tax cost of debt, Risk-free rate, Beta, Market risk premium, Cost of equity (CAPM), % Debt, % Equity, Final WACC.</w:t>
      </w:r>
    </w:p>
    <w:p w14:paraId="6645FA11" w14:textId="77777777" w:rsidR="00680716" w:rsidRDefault="00680716"/>
    <w:p w14:paraId="25975324" w14:textId="77777777" w:rsidR="00680716" w:rsidRDefault="00000000">
      <w:pPr>
        <w:pStyle w:val="Ttulo2"/>
      </w:pPr>
      <w:r>
        <w:t>6.3 Free Cash Flow projection</w:t>
      </w:r>
    </w:p>
    <w:p w14:paraId="395D544F" w14:textId="77777777" w:rsidR="00680716" w:rsidRDefault="00000000">
      <w:r>
        <w:rPr>
          <w:i/>
          <w:color w:val="8C8C8C"/>
          <w:sz w:val="20"/>
        </w:rPr>
        <w:t>FCF projection based on the assumptions in Section 6.1, connecting to the historical evolution analyzed in Section 4.3.</w:t>
      </w:r>
    </w:p>
    <w:p w14:paraId="4C78386F" w14:textId="77777777" w:rsidR="00680716" w:rsidRDefault="00000000">
      <w:pPr>
        <w:pStyle w:val="Ttulo2"/>
      </w:pPr>
      <w:r>
        <w:t>6.4 Terminal value</w:t>
      </w:r>
    </w:p>
    <w:p w14:paraId="3B19DD15" w14:textId="77777777" w:rsidR="00680716" w:rsidRDefault="00000000">
      <w:r>
        <w:rPr>
          <w:i/>
          <w:color w:val="8C8C8C"/>
          <w:sz w:val="20"/>
        </w:rPr>
        <w:t>Method used (Gordon perpetuity growth vs. exit multiple EV/EBITDA) and justification of the long-term growth rate (g) selected.</w:t>
      </w:r>
    </w:p>
    <w:p w14:paraId="6A43318A" w14:textId="77777777" w:rsidR="00680716" w:rsidRDefault="00000000">
      <w:pPr>
        <w:pStyle w:val="Ttulo2"/>
      </w:pPr>
      <w:r>
        <w:t>6.5 Valuation output</w:t>
      </w:r>
    </w:p>
    <w:tbl>
      <w:tblPr>
        <w:tblStyle w:val="Tablaconcuadrcula"/>
        <w:tblW w:w="0" w:type="auto"/>
        <w:jc w:val="center"/>
        <w:tblLook w:val="04A0" w:firstRow="1" w:lastRow="0" w:firstColumn="1" w:lastColumn="0" w:noHBand="0" w:noVBand="1"/>
      </w:tblPr>
      <w:tblGrid>
        <w:gridCol w:w="4703"/>
        <w:gridCol w:w="4703"/>
      </w:tblGrid>
      <w:tr w:rsidR="00680716" w14:paraId="63CB87E5" w14:textId="77777777">
        <w:trPr>
          <w:jc w:val="center"/>
        </w:trPr>
        <w:tc>
          <w:tcPr>
            <w:tcW w:w="4703" w:type="dxa"/>
            <w:shd w:val="clear" w:color="auto" w:fill="333333"/>
          </w:tcPr>
          <w:p w14:paraId="2ED05CD7" w14:textId="77777777" w:rsidR="00680716" w:rsidRDefault="00000000">
            <w:r>
              <w:rPr>
                <w:b/>
                <w:color w:val="FFFFFF"/>
                <w:sz w:val="19"/>
              </w:rPr>
              <w:t>Metric</w:t>
            </w:r>
          </w:p>
        </w:tc>
        <w:tc>
          <w:tcPr>
            <w:tcW w:w="4703" w:type="dxa"/>
            <w:shd w:val="clear" w:color="auto" w:fill="333333"/>
          </w:tcPr>
          <w:p w14:paraId="0A86788E" w14:textId="77777777" w:rsidR="00680716" w:rsidRDefault="00000000">
            <w:r>
              <w:rPr>
                <w:b/>
                <w:color w:val="FFFFFF"/>
                <w:sz w:val="19"/>
              </w:rPr>
              <w:t>Value</w:t>
            </w:r>
          </w:p>
        </w:tc>
      </w:tr>
      <w:tr w:rsidR="00680716" w14:paraId="5ED0ECB3" w14:textId="77777777">
        <w:trPr>
          <w:jc w:val="center"/>
        </w:trPr>
        <w:tc>
          <w:tcPr>
            <w:tcW w:w="4703" w:type="dxa"/>
          </w:tcPr>
          <w:p w14:paraId="122951C2" w14:textId="77777777" w:rsidR="00680716" w:rsidRDefault="00000000">
            <w:r>
              <w:rPr>
                <w:i/>
                <w:color w:val="8C8C8C"/>
                <w:sz w:val="19"/>
              </w:rPr>
              <w:t>[to be completed]</w:t>
            </w:r>
          </w:p>
        </w:tc>
        <w:tc>
          <w:tcPr>
            <w:tcW w:w="4703" w:type="dxa"/>
          </w:tcPr>
          <w:p w14:paraId="563232BA" w14:textId="77777777" w:rsidR="00680716" w:rsidRDefault="00680716"/>
        </w:tc>
      </w:tr>
      <w:tr w:rsidR="00680716" w14:paraId="566D8DCB" w14:textId="77777777">
        <w:trPr>
          <w:jc w:val="center"/>
        </w:trPr>
        <w:tc>
          <w:tcPr>
            <w:tcW w:w="4703" w:type="dxa"/>
          </w:tcPr>
          <w:p w14:paraId="101574C9" w14:textId="77777777" w:rsidR="00680716" w:rsidRDefault="00680716"/>
        </w:tc>
        <w:tc>
          <w:tcPr>
            <w:tcW w:w="4703" w:type="dxa"/>
          </w:tcPr>
          <w:p w14:paraId="222DE9C2" w14:textId="77777777" w:rsidR="00680716" w:rsidRDefault="00680716"/>
        </w:tc>
      </w:tr>
      <w:tr w:rsidR="00680716" w14:paraId="1698A0A8" w14:textId="77777777">
        <w:trPr>
          <w:jc w:val="center"/>
        </w:trPr>
        <w:tc>
          <w:tcPr>
            <w:tcW w:w="4703" w:type="dxa"/>
          </w:tcPr>
          <w:p w14:paraId="43E5882D" w14:textId="77777777" w:rsidR="00680716" w:rsidRDefault="00680716"/>
        </w:tc>
        <w:tc>
          <w:tcPr>
            <w:tcW w:w="4703" w:type="dxa"/>
          </w:tcPr>
          <w:p w14:paraId="57A6019C" w14:textId="77777777" w:rsidR="00680716" w:rsidRDefault="00680716"/>
        </w:tc>
      </w:tr>
      <w:tr w:rsidR="00680716" w14:paraId="14DDC1F9" w14:textId="77777777">
        <w:trPr>
          <w:jc w:val="center"/>
        </w:trPr>
        <w:tc>
          <w:tcPr>
            <w:tcW w:w="4703" w:type="dxa"/>
          </w:tcPr>
          <w:p w14:paraId="7857FE7B" w14:textId="77777777" w:rsidR="00680716" w:rsidRDefault="00680716"/>
        </w:tc>
        <w:tc>
          <w:tcPr>
            <w:tcW w:w="4703" w:type="dxa"/>
          </w:tcPr>
          <w:p w14:paraId="62CAB063" w14:textId="77777777" w:rsidR="00680716" w:rsidRDefault="00680716"/>
        </w:tc>
      </w:tr>
      <w:tr w:rsidR="00680716" w14:paraId="22132716" w14:textId="77777777">
        <w:trPr>
          <w:jc w:val="center"/>
        </w:trPr>
        <w:tc>
          <w:tcPr>
            <w:tcW w:w="4703" w:type="dxa"/>
          </w:tcPr>
          <w:p w14:paraId="1A67388A" w14:textId="77777777" w:rsidR="00680716" w:rsidRDefault="00680716"/>
        </w:tc>
        <w:tc>
          <w:tcPr>
            <w:tcW w:w="4703" w:type="dxa"/>
          </w:tcPr>
          <w:p w14:paraId="04F0B9C3" w14:textId="77777777" w:rsidR="00680716" w:rsidRDefault="00680716"/>
        </w:tc>
      </w:tr>
      <w:tr w:rsidR="00680716" w14:paraId="324B49CC" w14:textId="77777777">
        <w:trPr>
          <w:jc w:val="center"/>
        </w:trPr>
        <w:tc>
          <w:tcPr>
            <w:tcW w:w="4703" w:type="dxa"/>
          </w:tcPr>
          <w:p w14:paraId="53CF4823" w14:textId="77777777" w:rsidR="00680716" w:rsidRDefault="00680716"/>
        </w:tc>
        <w:tc>
          <w:tcPr>
            <w:tcW w:w="4703" w:type="dxa"/>
          </w:tcPr>
          <w:p w14:paraId="520F5C0D" w14:textId="77777777" w:rsidR="00680716" w:rsidRDefault="00680716"/>
        </w:tc>
      </w:tr>
    </w:tbl>
    <w:p w14:paraId="0D5AE03E" w14:textId="77777777" w:rsidR="00680716" w:rsidRDefault="00000000">
      <w:r>
        <w:rPr>
          <w:i/>
          <w:color w:val="8C8C8C"/>
          <w:sz w:val="17"/>
        </w:rPr>
        <w:t>Complete with: PV of explicit FCF, PV of terminal value, Enterprise value, - Net debt, Equity value, Target price per share.</w:t>
      </w:r>
    </w:p>
    <w:p w14:paraId="725968C9" w14:textId="77777777" w:rsidR="00680716" w:rsidRDefault="00680716"/>
    <w:p w14:paraId="6B15E50C" w14:textId="77777777" w:rsidR="00680716" w:rsidRDefault="00000000">
      <w:pPr>
        <w:pStyle w:val="Ttulo2"/>
      </w:pPr>
      <w:r>
        <w:t>6.6 Comparison with trading comparables</w:t>
      </w:r>
    </w:p>
    <w:p w14:paraId="4200EB48" w14:textId="77777777" w:rsidR="00680716" w:rsidRDefault="00000000">
      <w:r>
        <w:rPr>
          <w:i/>
          <w:color w:val="8C8C8C"/>
          <w:sz w:val="20"/>
        </w:rPr>
        <w:t>Contrast the DCF output with market multiples (EV/EBITDA, P/E, P/BV) of Russian and international comparables, highlighting the valuation discount associated with country risk.</w:t>
      </w:r>
    </w:p>
    <w:p w14:paraId="384EEE9E" w14:textId="77777777" w:rsidR="00680716" w:rsidRDefault="00000000">
      <w:pPr>
        <w:pStyle w:val="Ttulo1"/>
      </w:pPr>
      <w:r>
        <w:lastRenderedPageBreak/>
        <w:t>7. Sensitivity Analysis: WACC and Oil Price Dependency</w:t>
      </w:r>
    </w:p>
    <w:p w14:paraId="4724E57C" w14:textId="77777777" w:rsidR="00680716" w:rsidRDefault="00000000">
      <w:r>
        <w:rPr>
          <w:i/>
          <w:color w:val="8C8C8C"/>
          <w:sz w:val="20"/>
        </w:rPr>
        <w:t>Objective: quantitatively demonstrate the extent to which Rosneft’s valuation is driven by the oil price, beyond the obvious revenue channel.</w:t>
      </w:r>
    </w:p>
    <w:p w14:paraId="6D84A7D3" w14:textId="77777777" w:rsidR="00680716" w:rsidRDefault="00000000">
      <w:pPr>
        <w:pStyle w:val="Ttulo2"/>
      </w:pPr>
      <w:r>
        <w:t>7.1 Relationship between the estimated WACC and the Brent/Urals price</w:t>
      </w:r>
    </w:p>
    <w:p w14:paraId="15274B6E" w14:textId="77777777" w:rsidR="00680716" w:rsidRDefault="00000000">
      <w:pPr>
        <w:pStyle w:val="Listaconvietas"/>
        <w:ind w:left="567"/>
      </w:pPr>
      <w:r>
        <w:rPr>
          <w:color w:val="333333"/>
          <w:sz w:val="21"/>
        </w:rPr>
        <w:t>Historical evolution of Rosneft’s Beta relative to the oil price cycle.</w:t>
      </w:r>
    </w:p>
    <w:p w14:paraId="1F858584" w14:textId="77777777" w:rsidR="00680716" w:rsidRDefault="00000000">
      <w:pPr>
        <w:pStyle w:val="Listaconvietas"/>
        <w:ind w:left="567"/>
      </w:pPr>
      <w:r>
        <w:rPr>
          <w:color w:val="333333"/>
          <w:sz w:val="21"/>
        </w:rPr>
        <w:t>Evolution of the cost of debt and credit spread during low vs. high oil price periods.</w:t>
      </w:r>
    </w:p>
    <w:p w14:paraId="605FE886" w14:textId="77777777" w:rsidR="00680716" w:rsidRDefault="00000000">
      <w:pPr>
        <w:pStyle w:val="Listaconvietas"/>
        <w:ind w:left="567"/>
      </w:pPr>
      <w:r>
        <w:rPr>
          <w:color w:val="333333"/>
          <w:sz w:val="21"/>
        </w:rPr>
        <w:t>Hypothesis: does the WACC increase when the oil price falls (higher perceived risk), amplifying the valuation decline?</w:t>
      </w:r>
    </w:p>
    <w:p w14:paraId="5A685922" w14:textId="77777777" w:rsidR="00680716" w:rsidRDefault="00000000">
      <w:pPr>
        <w:pStyle w:val="Ttulo2"/>
      </w:pPr>
      <w:r>
        <w:t>7.2 Sensitivity of share value to the oil price</w:t>
      </w:r>
    </w:p>
    <w:tbl>
      <w:tblPr>
        <w:tblStyle w:val="Tablaconcuadrcula"/>
        <w:tblW w:w="0" w:type="auto"/>
        <w:jc w:val="center"/>
        <w:tblLook w:val="04A0" w:firstRow="1" w:lastRow="0" w:firstColumn="1" w:lastColumn="0" w:noHBand="0" w:noVBand="1"/>
      </w:tblPr>
      <w:tblGrid>
        <w:gridCol w:w="3135"/>
        <w:gridCol w:w="3135"/>
        <w:gridCol w:w="3135"/>
      </w:tblGrid>
      <w:tr w:rsidR="00680716" w14:paraId="5EBFE0A0" w14:textId="77777777">
        <w:trPr>
          <w:jc w:val="center"/>
        </w:trPr>
        <w:tc>
          <w:tcPr>
            <w:tcW w:w="3135" w:type="dxa"/>
            <w:shd w:val="clear" w:color="auto" w:fill="333333"/>
          </w:tcPr>
          <w:p w14:paraId="7030623D" w14:textId="77777777" w:rsidR="00680716" w:rsidRDefault="00000000">
            <w:r>
              <w:rPr>
                <w:b/>
                <w:color w:val="FFFFFF"/>
                <w:sz w:val="19"/>
              </w:rPr>
              <w:t>Brent/Urals price (USD/bbl)</w:t>
            </w:r>
          </w:p>
        </w:tc>
        <w:tc>
          <w:tcPr>
            <w:tcW w:w="3135" w:type="dxa"/>
            <w:shd w:val="clear" w:color="auto" w:fill="333333"/>
          </w:tcPr>
          <w:p w14:paraId="0B35A5CA" w14:textId="77777777" w:rsidR="00680716" w:rsidRDefault="00000000">
            <w:r>
              <w:rPr>
                <w:b/>
                <w:color w:val="FFFFFF"/>
                <w:sz w:val="19"/>
              </w:rPr>
              <w:t>Estimated FCF</w:t>
            </w:r>
          </w:p>
        </w:tc>
        <w:tc>
          <w:tcPr>
            <w:tcW w:w="3135" w:type="dxa"/>
            <w:shd w:val="clear" w:color="auto" w:fill="333333"/>
          </w:tcPr>
          <w:p w14:paraId="2425F1F4" w14:textId="77777777" w:rsidR="00680716" w:rsidRDefault="00000000">
            <w:r>
              <w:rPr>
                <w:b/>
                <w:color w:val="FFFFFF"/>
                <w:sz w:val="19"/>
              </w:rPr>
              <w:t>Value per share</w:t>
            </w:r>
          </w:p>
        </w:tc>
      </w:tr>
      <w:tr w:rsidR="00680716" w14:paraId="06DF5694" w14:textId="77777777">
        <w:trPr>
          <w:jc w:val="center"/>
        </w:trPr>
        <w:tc>
          <w:tcPr>
            <w:tcW w:w="3135" w:type="dxa"/>
          </w:tcPr>
          <w:p w14:paraId="021942CE" w14:textId="77777777" w:rsidR="00680716" w:rsidRDefault="00000000">
            <w:r>
              <w:rPr>
                <w:i/>
                <w:color w:val="8C8C8C"/>
                <w:sz w:val="19"/>
              </w:rPr>
              <w:t>[to be completed]</w:t>
            </w:r>
          </w:p>
        </w:tc>
        <w:tc>
          <w:tcPr>
            <w:tcW w:w="3135" w:type="dxa"/>
          </w:tcPr>
          <w:p w14:paraId="1E2482CC" w14:textId="77777777" w:rsidR="00680716" w:rsidRDefault="00680716"/>
        </w:tc>
        <w:tc>
          <w:tcPr>
            <w:tcW w:w="3135" w:type="dxa"/>
          </w:tcPr>
          <w:p w14:paraId="79BA9B28" w14:textId="77777777" w:rsidR="00680716" w:rsidRDefault="00680716"/>
        </w:tc>
      </w:tr>
      <w:tr w:rsidR="00680716" w14:paraId="5BD8FEED" w14:textId="77777777">
        <w:trPr>
          <w:jc w:val="center"/>
        </w:trPr>
        <w:tc>
          <w:tcPr>
            <w:tcW w:w="3135" w:type="dxa"/>
          </w:tcPr>
          <w:p w14:paraId="410927C9" w14:textId="77777777" w:rsidR="00680716" w:rsidRDefault="00680716"/>
        </w:tc>
        <w:tc>
          <w:tcPr>
            <w:tcW w:w="3135" w:type="dxa"/>
          </w:tcPr>
          <w:p w14:paraId="17481074" w14:textId="77777777" w:rsidR="00680716" w:rsidRDefault="00680716"/>
        </w:tc>
        <w:tc>
          <w:tcPr>
            <w:tcW w:w="3135" w:type="dxa"/>
          </w:tcPr>
          <w:p w14:paraId="42AC0217" w14:textId="77777777" w:rsidR="00680716" w:rsidRDefault="00680716"/>
        </w:tc>
      </w:tr>
      <w:tr w:rsidR="00680716" w14:paraId="7A4EE0CC" w14:textId="77777777">
        <w:trPr>
          <w:jc w:val="center"/>
        </w:trPr>
        <w:tc>
          <w:tcPr>
            <w:tcW w:w="3135" w:type="dxa"/>
          </w:tcPr>
          <w:p w14:paraId="2EB8AA62" w14:textId="77777777" w:rsidR="00680716" w:rsidRDefault="00680716"/>
        </w:tc>
        <w:tc>
          <w:tcPr>
            <w:tcW w:w="3135" w:type="dxa"/>
          </w:tcPr>
          <w:p w14:paraId="7D6D34BC" w14:textId="77777777" w:rsidR="00680716" w:rsidRDefault="00680716"/>
        </w:tc>
        <w:tc>
          <w:tcPr>
            <w:tcW w:w="3135" w:type="dxa"/>
          </w:tcPr>
          <w:p w14:paraId="618D06E8" w14:textId="77777777" w:rsidR="00680716" w:rsidRDefault="00680716"/>
        </w:tc>
      </w:tr>
      <w:tr w:rsidR="00680716" w14:paraId="2C1E72A2" w14:textId="77777777">
        <w:trPr>
          <w:jc w:val="center"/>
        </w:trPr>
        <w:tc>
          <w:tcPr>
            <w:tcW w:w="3135" w:type="dxa"/>
          </w:tcPr>
          <w:p w14:paraId="3F12EF3D" w14:textId="77777777" w:rsidR="00680716" w:rsidRDefault="00680716"/>
        </w:tc>
        <w:tc>
          <w:tcPr>
            <w:tcW w:w="3135" w:type="dxa"/>
          </w:tcPr>
          <w:p w14:paraId="5470DE30" w14:textId="77777777" w:rsidR="00680716" w:rsidRDefault="00680716"/>
        </w:tc>
        <w:tc>
          <w:tcPr>
            <w:tcW w:w="3135" w:type="dxa"/>
          </w:tcPr>
          <w:p w14:paraId="0908A7EA" w14:textId="77777777" w:rsidR="00680716" w:rsidRDefault="00680716"/>
        </w:tc>
      </w:tr>
      <w:tr w:rsidR="00680716" w14:paraId="47EB8C6E" w14:textId="77777777">
        <w:trPr>
          <w:jc w:val="center"/>
        </w:trPr>
        <w:tc>
          <w:tcPr>
            <w:tcW w:w="3135" w:type="dxa"/>
          </w:tcPr>
          <w:p w14:paraId="2720744A" w14:textId="77777777" w:rsidR="00680716" w:rsidRDefault="00680716"/>
        </w:tc>
        <w:tc>
          <w:tcPr>
            <w:tcW w:w="3135" w:type="dxa"/>
          </w:tcPr>
          <w:p w14:paraId="231A00A5" w14:textId="77777777" w:rsidR="00680716" w:rsidRDefault="00680716"/>
        </w:tc>
        <w:tc>
          <w:tcPr>
            <w:tcW w:w="3135" w:type="dxa"/>
          </w:tcPr>
          <w:p w14:paraId="3797718A" w14:textId="77777777" w:rsidR="00680716" w:rsidRDefault="00680716"/>
        </w:tc>
      </w:tr>
    </w:tbl>
    <w:p w14:paraId="327734E0" w14:textId="77777777" w:rsidR="00680716" w:rsidRDefault="00000000">
      <w:r>
        <w:rPr>
          <w:i/>
          <w:color w:val="8C8C8C"/>
          <w:sz w:val="17"/>
        </w:rPr>
        <w:t>Sensitivity table to be completed by varying the oil price (e.g. -20%, -10%, base, +10%, +20%) holding all other assumptions constant.</w:t>
      </w:r>
    </w:p>
    <w:p w14:paraId="223431D8" w14:textId="77777777" w:rsidR="00680716" w:rsidRDefault="00680716"/>
    <w:p w14:paraId="4768F559" w14:textId="77777777" w:rsidR="00680716" w:rsidRDefault="00000000">
      <w:pPr>
        <w:pStyle w:val="Ttulo2"/>
      </w:pPr>
      <w:r>
        <w:t>7.3 Cross-sensitivity matrix: WACC vs. oil price</w:t>
      </w:r>
    </w:p>
    <w:tbl>
      <w:tblPr>
        <w:tblStyle w:val="Tablaconcuadrcula"/>
        <w:tblW w:w="0" w:type="auto"/>
        <w:jc w:val="center"/>
        <w:tblLook w:val="04A0" w:firstRow="1" w:lastRow="0" w:firstColumn="1" w:lastColumn="0" w:noHBand="0" w:noVBand="1"/>
      </w:tblPr>
      <w:tblGrid>
        <w:gridCol w:w="2351"/>
        <w:gridCol w:w="2351"/>
        <w:gridCol w:w="2351"/>
        <w:gridCol w:w="2351"/>
      </w:tblGrid>
      <w:tr w:rsidR="00680716" w14:paraId="07183813" w14:textId="77777777">
        <w:trPr>
          <w:jc w:val="center"/>
        </w:trPr>
        <w:tc>
          <w:tcPr>
            <w:tcW w:w="2351" w:type="dxa"/>
            <w:shd w:val="clear" w:color="auto" w:fill="333333"/>
          </w:tcPr>
          <w:p w14:paraId="209934EB" w14:textId="77777777" w:rsidR="00680716" w:rsidRDefault="00000000">
            <w:r>
              <w:rPr>
                <w:b/>
                <w:color w:val="FFFFFF"/>
                <w:sz w:val="19"/>
              </w:rPr>
              <w:t>WACC \ Oil price</w:t>
            </w:r>
          </w:p>
        </w:tc>
        <w:tc>
          <w:tcPr>
            <w:tcW w:w="2351" w:type="dxa"/>
            <w:shd w:val="clear" w:color="auto" w:fill="333333"/>
          </w:tcPr>
          <w:p w14:paraId="308FF031" w14:textId="77777777" w:rsidR="00680716" w:rsidRDefault="00000000">
            <w:r>
              <w:rPr>
                <w:b/>
                <w:color w:val="FFFFFF"/>
                <w:sz w:val="19"/>
              </w:rPr>
              <w:t>Low scenario</w:t>
            </w:r>
          </w:p>
        </w:tc>
        <w:tc>
          <w:tcPr>
            <w:tcW w:w="2351" w:type="dxa"/>
            <w:shd w:val="clear" w:color="auto" w:fill="333333"/>
          </w:tcPr>
          <w:p w14:paraId="1CFE52F5" w14:textId="77777777" w:rsidR="00680716" w:rsidRDefault="00000000">
            <w:r>
              <w:rPr>
                <w:b/>
                <w:color w:val="FFFFFF"/>
                <w:sz w:val="19"/>
              </w:rPr>
              <w:t>Base scenario</w:t>
            </w:r>
          </w:p>
        </w:tc>
        <w:tc>
          <w:tcPr>
            <w:tcW w:w="2351" w:type="dxa"/>
            <w:shd w:val="clear" w:color="auto" w:fill="333333"/>
          </w:tcPr>
          <w:p w14:paraId="63C13B99" w14:textId="77777777" w:rsidR="00680716" w:rsidRDefault="00000000">
            <w:r>
              <w:rPr>
                <w:b/>
                <w:color w:val="FFFFFF"/>
                <w:sz w:val="19"/>
              </w:rPr>
              <w:t>High scenario</w:t>
            </w:r>
          </w:p>
        </w:tc>
      </w:tr>
      <w:tr w:rsidR="00680716" w14:paraId="58F526AC" w14:textId="77777777">
        <w:trPr>
          <w:jc w:val="center"/>
        </w:trPr>
        <w:tc>
          <w:tcPr>
            <w:tcW w:w="2351" w:type="dxa"/>
          </w:tcPr>
          <w:p w14:paraId="472BDC10" w14:textId="77777777" w:rsidR="00680716" w:rsidRDefault="00000000">
            <w:r>
              <w:rPr>
                <w:i/>
                <w:color w:val="8C8C8C"/>
                <w:sz w:val="19"/>
              </w:rPr>
              <w:t>[to be completed]</w:t>
            </w:r>
          </w:p>
        </w:tc>
        <w:tc>
          <w:tcPr>
            <w:tcW w:w="2351" w:type="dxa"/>
          </w:tcPr>
          <w:p w14:paraId="78A61D43" w14:textId="77777777" w:rsidR="00680716" w:rsidRDefault="00680716"/>
        </w:tc>
        <w:tc>
          <w:tcPr>
            <w:tcW w:w="2351" w:type="dxa"/>
          </w:tcPr>
          <w:p w14:paraId="17BD902C" w14:textId="77777777" w:rsidR="00680716" w:rsidRDefault="00680716"/>
        </w:tc>
        <w:tc>
          <w:tcPr>
            <w:tcW w:w="2351" w:type="dxa"/>
          </w:tcPr>
          <w:p w14:paraId="5E50B323" w14:textId="77777777" w:rsidR="00680716" w:rsidRDefault="00680716"/>
        </w:tc>
      </w:tr>
      <w:tr w:rsidR="00680716" w14:paraId="19ED47BB" w14:textId="77777777">
        <w:trPr>
          <w:jc w:val="center"/>
        </w:trPr>
        <w:tc>
          <w:tcPr>
            <w:tcW w:w="2351" w:type="dxa"/>
          </w:tcPr>
          <w:p w14:paraId="4FD96FF9" w14:textId="77777777" w:rsidR="00680716" w:rsidRDefault="00680716"/>
        </w:tc>
        <w:tc>
          <w:tcPr>
            <w:tcW w:w="2351" w:type="dxa"/>
          </w:tcPr>
          <w:p w14:paraId="63A974FA" w14:textId="77777777" w:rsidR="00680716" w:rsidRDefault="00680716"/>
        </w:tc>
        <w:tc>
          <w:tcPr>
            <w:tcW w:w="2351" w:type="dxa"/>
          </w:tcPr>
          <w:p w14:paraId="76F98CA2" w14:textId="77777777" w:rsidR="00680716" w:rsidRDefault="00680716"/>
        </w:tc>
        <w:tc>
          <w:tcPr>
            <w:tcW w:w="2351" w:type="dxa"/>
          </w:tcPr>
          <w:p w14:paraId="5E951FAE" w14:textId="77777777" w:rsidR="00680716" w:rsidRDefault="00680716"/>
        </w:tc>
      </w:tr>
      <w:tr w:rsidR="00680716" w14:paraId="614B938C" w14:textId="77777777">
        <w:trPr>
          <w:jc w:val="center"/>
        </w:trPr>
        <w:tc>
          <w:tcPr>
            <w:tcW w:w="2351" w:type="dxa"/>
          </w:tcPr>
          <w:p w14:paraId="3EE58B87" w14:textId="77777777" w:rsidR="00680716" w:rsidRDefault="00680716"/>
        </w:tc>
        <w:tc>
          <w:tcPr>
            <w:tcW w:w="2351" w:type="dxa"/>
          </w:tcPr>
          <w:p w14:paraId="07269589" w14:textId="77777777" w:rsidR="00680716" w:rsidRDefault="00680716"/>
        </w:tc>
        <w:tc>
          <w:tcPr>
            <w:tcW w:w="2351" w:type="dxa"/>
          </w:tcPr>
          <w:p w14:paraId="6E4353ED" w14:textId="77777777" w:rsidR="00680716" w:rsidRDefault="00680716"/>
        </w:tc>
        <w:tc>
          <w:tcPr>
            <w:tcW w:w="2351" w:type="dxa"/>
          </w:tcPr>
          <w:p w14:paraId="27F79CEA" w14:textId="77777777" w:rsidR="00680716" w:rsidRDefault="00680716"/>
        </w:tc>
      </w:tr>
      <w:tr w:rsidR="00680716" w14:paraId="22087805" w14:textId="77777777">
        <w:trPr>
          <w:jc w:val="center"/>
        </w:trPr>
        <w:tc>
          <w:tcPr>
            <w:tcW w:w="2351" w:type="dxa"/>
          </w:tcPr>
          <w:p w14:paraId="2B685A32" w14:textId="77777777" w:rsidR="00680716" w:rsidRDefault="00680716"/>
        </w:tc>
        <w:tc>
          <w:tcPr>
            <w:tcW w:w="2351" w:type="dxa"/>
          </w:tcPr>
          <w:p w14:paraId="5D58FF10" w14:textId="77777777" w:rsidR="00680716" w:rsidRDefault="00680716"/>
        </w:tc>
        <w:tc>
          <w:tcPr>
            <w:tcW w:w="2351" w:type="dxa"/>
          </w:tcPr>
          <w:p w14:paraId="3A3DECEB" w14:textId="77777777" w:rsidR="00680716" w:rsidRDefault="00680716"/>
        </w:tc>
        <w:tc>
          <w:tcPr>
            <w:tcW w:w="2351" w:type="dxa"/>
          </w:tcPr>
          <w:p w14:paraId="74B6C09F" w14:textId="77777777" w:rsidR="00680716" w:rsidRDefault="00680716"/>
        </w:tc>
      </w:tr>
      <w:tr w:rsidR="00680716" w14:paraId="051D672F" w14:textId="77777777">
        <w:trPr>
          <w:jc w:val="center"/>
        </w:trPr>
        <w:tc>
          <w:tcPr>
            <w:tcW w:w="2351" w:type="dxa"/>
          </w:tcPr>
          <w:p w14:paraId="39F10CCB" w14:textId="77777777" w:rsidR="00680716" w:rsidRDefault="00680716"/>
        </w:tc>
        <w:tc>
          <w:tcPr>
            <w:tcW w:w="2351" w:type="dxa"/>
          </w:tcPr>
          <w:p w14:paraId="6F848B54" w14:textId="77777777" w:rsidR="00680716" w:rsidRDefault="00680716"/>
        </w:tc>
        <w:tc>
          <w:tcPr>
            <w:tcW w:w="2351" w:type="dxa"/>
          </w:tcPr>
          <w:p w14:paraId="4AE20F93" w14:textId="77777777" w:rsidR="00680716" w:rsidRDefault="00680716"/>
        </w:tc>
        <w:tc>
          <w:tcPr>
            <w:tcW w:w="2351" w:type="dxa"/>
          </w:tcPr>
          <w:p w14:paraId="5D7C5032" w14:textId="77777777" w:rsidR="00680716" w:rsidRDefault="00680716"/>
        </w:tc>
      </w:tr>
    </w:tbl>
    <w:p w14:paraId="540C2175" w14:textId="77777777" w:rsidR="00680716" w:rsidRDefault="00000000">
      <w:r>
        <w:rPr>
          <w:i/>
          <w:color w:val="8C8C8C"/>
          <w:sz w:val="17"/>
        </w:rPr>
        <w:t>Two-way matrix (target price per share) crossing different WACC levels (rows) against different oil price scenarios (columns).</w:t>
      </w:r>
    </w:p>
    <w:p w14:paraId="706C65DC" w14:textId="77777777" w:rsidR="00680716" w:rsidRDefault="00680716"/>
    <w:p w14:paraId="098C9965" w14:textId="77777777" w:rsidR="00680716" w:rsidRDefault="00000000">
      <w:pPr>
        <w:pStyle w:val="Ttulo2"/>
      </w:pPr>
      <w:r>
        <w:t>7.4 Conclusions on the degree of dependency</w:t>
      </w:r>
    </w:p>
    <w:p w14:paraId="71E55D87" w14:textId="77777777" w:rsidR="00680716" w:rsidRDefault="00000000">
      <w:r>
        <w:rPr>
          <w:i/>
          <w:color w:val="8C8C8C"/>
          <w:sz w:val="20"/>
        </w:rPr>
        <w:t>Summary: quantify the approximate elasticity of share value to oil price changes and assess whether this dependency is adequately captured in the WACC or whether an additional specific risk premium should be applied.</w:t>
      </w:r>
    </w:p>
    <w:p w14:paraId="0741F9D6" w14:textId="77777777" w:rsidR="00680716" w:rsidRDefault="00000000">
      <w:pPr>
        <w:pStyle w:val="Ttulo1"/>
      </w:pPr>
      <w:r>
        <w:lastRenderedPageBreak/>
        <w:t>8. Conclusions and Investment Recommendation</w:t>
      </w:r>
    </w:p>
    <w:p w14:paraId="091A288A" w14:textId="77777777" w:rsidR="00680716" w:rsidRDefault="00000000">
      <w:pPr>
        <w:pStyle w:val="Listaconvietas"/>
        <w:ind w:left="567"/>
      </w:pPr>
      <w:r>
        <w:rPr>
          <w:color w:val="333333"/>
          <w:sz w:val="21"/>
        </w:rPr>
        <w:t>Synthesis of the investment thesis, integrating financial statements, growth projects, geopolitical environment and DCF output.</w:t>
      </w:r>
    </w:p>
    <w:p w14:paraId="4B91E689" w14:textId="77777777" w:rsidR="00680716" w:rsidRDefault="00000000">
      <w:pPr>
        <w:pStyle w:val="Listaconvietas"/>
        <w:ind w:left="567"/>
      </w:pPr>
      <w:r>
        <w:rPr>
          <w:color w:val="333333"/>
          <w:sz w:val="21"/>
        </w:rPr>
        <w:t>Final recommendation (Buy / Hold / Sell), target price and time horizon.</w:t>
      </w:r>
    </w:p>
    <w:p w14:paraId="3745FCA6" w14:textId="77777777" w:rsidR="00680716" w:rsidRDefault="00000000">
      <w:pPr>
        <w:pStyle w:val="Listaconvietas"/>
        <w:ind w:left="567"/>
      </w:pPr>
      <w:r>
        <w:rPr>
          <w:color w:val="333333"/>
          <w:sz w:val="21"/>
        </w:rPr>
        <w:t>Catalysts to monitor (sanctions developments, oil price, Vostok Oil progress).</w:t>
      </w:r>
    </w:p>
    <w:p w14:paraId="12FA2ED8" w14:textId="77777777" w:rsidR="00680716" w:rsidRDefault="00000000">
      <w:pPr>
        <w:pStyle w:val="Listaconvietas"/>
        <w:ind w:left="567"/>
      </w:pPr>
      <w:r>
        <w:rPr>
          <w:color w:val="333333"/>
          <w:sz w:val="21"/>
        </w:rPr>
        <w:t>Key risks to the thesis (both upside and downside).</w:t>
      </w:r>
    </w:p>
    <w:p w14:paraId="22E3D356" w14:textId="77777777" w:rsidR="00680716" w:rsidRDefault="00000000">
      <w:pPr>
        <w:pStyle w:val="Ttulo1"/>
      </w:pPr>
      <w:r>
        <w:t>9. Appendices</w:t>
      </w:r>
    </w:p>
    <w:p w14:paraId="192F4CEE" w14:textId="77777777" w:rsidR="00680716" w:rsidRDefault="00000000">
      <w:pPr>
        <w:pStyle w:val="Ttulo2"/>
      </w:pPr>
      <w:r>
        <w:t>9.1 Detailed financial statements</w:t>
      </w:r>
    </w:p>
    <w:p w14:paraId="46A71343" w14:textId="77777777" w:rsidR="00680716" w:rsidRDefault="00000000">
      <w:r>
        <w:rPr>
          <w:i/>
          <w:color w:val="8C8C8C"/>
          <w:sz w:val="20"/>
        </w:rPr>
        <w:t>Full income statement, balance sheet and cash flow statement, in expanded table format (source: Rosneft_DCF.xlsx and rosneft_pipeline/output/rosneft_financials.xlsx).</w:t>
      </w:r>
    </w:p>
    <w:p w14:paraId="129AD226" w14:textId="77777777" w:rsidR="00680716" w:rsidRDefault="00000000">
      <w:pPr>
        <w:pStyle w:val="Ttulo2"/>
      </w:pPr>
      <w:r>
        <w:t>9.2 Full DCF model assumptions</w:t>
      </w:r>
    </w:p>
    <w:p w14:paraId="587CC95B" w14:textId="77777777" w:rsidR="00680716" w:rsidRDefault="00000000">
      <w:r>
        <w:rPr>
          <w:i/>
          <w:color w:val="8C8C8C"/>
          <w:sz w:val="20"/>
        </w:rPr>
        <w:t>Complete detail of the Rosneft_DCF.xlsx model assumptions for traceability.</w:t>
      </w:r>
    </w:p>
    <w:p w14:paraId="464581D3" w14:textId="77777777" w:rsidR="00680716" w:rsidRDefault="00000000">
      <w:pPr>
        <w:pStyle w:val="Ttulo2"/>
      </w:pPr>
      <w:r>
        <w:t>9.3 Sources and methodology</w:t>
      </w:r>
    </w:p>
    <w:p w14:paraId="7392465A" w14:textId="77777777" w:rsidR="00680716" w:rsidRDefault="00000000">
      <w:r>
        <w:rPr>
          <w:i/>
          <w:color w:val="8C8C8C"/>
          <w:sz w:val="20"/>
        </w:rPr>
        <w:t>List of sources: Rosneft annual/quarterly reports (IFRS), MOEX, market data providers, and specialized energy and geopolitical press.</w:t>
      </w:r>
    </w:p>
    <w:sectPr w:rsidR="00680716" w:rsidSect="00034616">
      <w:footerReference w:type="default" r:id="rId33"/>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E2847" w14:textId="77777777" w:rsidR="00CA0372" w:rsidRDefault="00CA0372">
      <w:pPr>
        <w:spacing w:after="0" w:line="240" w:lineRule="auto"/>
      </w:pPr>
      <w:r>
        <w:separator/>
      </w:r>
    </w:p>
  </w:endnote>
  <w:endnote w:type="continuationSeparator" w:id="0">
    <w:p w14:paraId="05AFF0C5" w14:textId="77777777" w:rsidR="00CA0372" w:rsidRDefault="00CA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ABA47" w14:textId="77777777" w:rsidR="00680716" w:rsidRDefault="00000000">
    <w:pPr>
      <w:pStyle w:val="Piedepgina"/>
      <w:jc w:val="center"/>
    </w:pPr>
    <w:r>
      <w:rPr>
        <w:color w:val="8C8C8C"/>
        <w:sz w:val="16"/>
      </w:rPr>
      <w:t>Rosneft Oil Company — Fundamental Analysis Report | Prepared by Marc Aliaga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441D2" w14:textId="77777777" w:rsidR="00CA0372" w:rsidRDefault="00CA0372">
      <w:pPr>
        <w:spacing w:after="0" w:line="240" w:lineRule="auto"/>
      </w:pPr>
      <w:r>
        <w:separator/>
      </w:r>
    </w:p>
  </w:footnote>
  <w:footnote w:type="continuationSeparator" w:id="0">
    <w:p w14:paraId="1DE31C69" w14:textId="77777777" w:rsidR="00CA0372" w:rsidRDefault="00CA0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A161E1"/>
    <w:multiLevelType w:val="hybridMultilevel"/>
    <w:tmpl w:val="727EE1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5920DC3"/>
    <w:multiLevelType w:val="hybridMultilevel"/>
    <w:tmpl w:val="4080D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927C17"/>
    <w:multiLevelType w:val="hybridMultilevel"/>
    <w:tmpl w:val="C5BC6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8079248">
    <w:abstractNumId w:val="8"/>
  </w:num>
  <w:num w:numId="2" w16cid:durableId="523833857">
    <w:abstractNumId w:val="6"/>
  </w:num>
  <w:num w:numId="3" w16cid:durableId="1982346855">
    <w:abstractNumId w:val="5"/>
  </w:num>
  <w:num w:numId="4" w16cid:durableId="2069183371">
    <w:abstractNumId w:val="4"/>
  </w:num>
  <w:num w:numId="5" w16cid:durableId="1534926517">
    <w:abstractNumId w:val="7"/>
  </w:num>
  <w:num w:numId="6" w16cid:durableId="1153062469">
    <w:abstractNumId w:val="3"/>
  </w:num>
  <w:num w:numId="7" w16cid:durableId="1457918204">
    <w:abstractNumId w:val="2"/>
  </w:num>
  <w:num w:numId="8" w16cid:durableId="2047875353">
    <w:abstractNumId w:val="1"/>
  </w:num>
  <w:num w:numId="9" w16cid:durableId="907616198">
    <w:abstractNumId w:val="0"/>
  </w:num>
  <w:num w:numId="10" w16cid:durableId="1102266577">
    <w:abstractNumId w:val="10"/>
  </w:num>
  <w:num w:numId="11" w16cid:durableId="190607517">
    <w:abstractNumId w:val="9"/>
  </w:num>
  <w:num w:numId="12" w16cid:durableId="6844034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155"/>
    <w:rsid w:val="002050FE"/>
    <w:rsid w:val="0029639D"/>
    <w:rsid w:val="00326F90"/>
    <w:rsid w:val="003755C7"/>
    <w:rsid w:val="00511390"/>
    <w:rsid w:val="00680716"/>
    <w:rsid w:val="006C3E32"/>
    <w:rsid w:val="00AA1D8D"/>
    <w:rsid w:val="00AC7EF4"/>
    <w:rsid w:val="00B47730"/>
    <w:rsid w:val="00CA0372"/>
    <w:rsid w:val="00CB0664"/>
    <w:rsid w:val="00CB30C9"/>
    <w:rsid w:val="00EF7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C8C67"/>
  <w14:defaultImageDpi w14:val="300"/>
  <w15:docId w15:val="{8BA089E6-0838-4E80-BCC2-7B710FF2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color w:val="0D0D0D"/>
    </w:rPr>
  </w:style>
  <w:style w:type="paragraph" w:styleId="Ttulo1">
    <w:name w:val="heading 1"/>
    <w:basedOn w:val="Normal"/>
    <w:next w:val="Normal"/>
    <w:link w:val="Ttulo1Car"/>
    <w:uiPriority w:val="9"/>
    <w:qFormat/>
    <w:rsid w:val="00FC693F"/>
    <w:pPr>
      <w:keepNext/>
      <w:keepLines/>
      <w:spacing w:before="480" w:after="160"/>
      <w:outlineLvl w:val="0"/>
    </w:pPr>
    <w:rPr>
      <w:rFonts w:asciiTheme="majorHAnsi" w:eastAsiaTheme="majorEastAsia" w:hAnsiTheme="majorHAnsi" w:cstheme="majorBidi"/>
      <w:b/>
      <w:bCs/>
      <w:color w:val="000000"/>
      <w:sz w:val="40"/>
      <w:szCs w:val="28"/>
    </w:rPr>
  </w:style>
  <w:style w:type="paragraph" w:styleId="Ttulo2">
    <w:name w:val="heading 2"/>
    <w:basedOn w:val="Normal"/>
    <w:next w:val="Normal"/>
    <w:link w:val="Ttulo2Car"/>
    <w:uiPriority w:val="9"/>
    <w:unhideWhenUsed/>
    <w:qFormat/>
    <w:rsid w:val="00FC693F"/>
    <w:pPr>
      <w:keepNext/>
      <w:keepLines/>
      <w:spacing w:before="360"/>
      <w:outlineLvl w:val="1"/>
    </w:pPr>
    <w:rPr>
      <w:rFonts w:asciiTheme="majorHAnsi" w:eastAsiaTheme="majorEastAsia" w:hAnsiTheme="majorHAnsi" w:cstheme="majorBidi"/>
      <w:b/>
      <w:bCs/>
      <w:color w:val="333333"/>
      <w:sz w:val="29"/>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333333"/>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eptoe.com/en/news-publications/international-compliance-blog/us-targets-rosneft-and-lukoil-in-first-russia-sanctions-action-under-trump.html" TargetMode="External"/><Relationship Id="rId18" Type="http://schemas.openxmlformats.org/officeDocument/2006/relationships/hyperlink" Target="https://tass.com/economy/2183335" TargetMode="External"/><Relationship Id="rId26" Type="http://schemas.openxmlformats.org/officeDocument/2006/relationships/hyperlink" Target="https://tradingeconomics.com/russia/currency/news/495895" TargetMode="External"/><Relationship Id="rId3" Type="http://schemas.openxmlformats.org/officeDocument/2006/relationships/styles" Target="styles.xml"/><Relationship Id="rId21" Type="http://schemas.openxmlformats.org/officeDocument/2006/relationships/hyperlink" Target="https://oilprice.com/Latest-Energy-News/World-News/Russia-Faces-Sharp-Drop-in-Oil-Tax-Revenue-at-Start-of-2026.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anctionsnews.bakermckenzie.com/eu-and-uk-announce-aligned-reduction-of-the-russian-oil-price-cap/" TargetMode="External"/><Relationship Id="rId17" Type="http://schemas.openxmlformats.org/officeDocument/2006/relationships/hyperlink" Target="https://voxukraine.org/en/shadow-fleet-sanctions-and-the-demand-for-russian-crude-oil" TargetMode="External"/><Relationship Id="rId25" Type="http://schemas.openxmlformats.org/officeDocument/2006/relationships/hyperlink" Target="https://www.intellinews.com/russia-s-ruble-best-performing-currency-in-the-world-in-1q26-443885/"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kpler.com/blog/rosneft-and-lukoil-sanctions-are-live-how-india-china-and-turkey-adapt-rather-than-exit" TargetMode="External"/><Relationship Id="rId20" Type="http://schemas.openxmlformats.org/officeDocument/2006/relationships/hyperlink" Target="https://www.ogj.com/general-interest/economics-markets/article/17232396/demystifying-russias-oil-and-gas-taxes" TargetMode="External"/><Relationship Id="rId29" Type="http://schemas.openxmlformats.org/officeDocument/2006/relationships/hyperlink" Target="https://www.themoscowtimes.com/2025/11/17/russian-oil-prices-sink-as-india-and-china-cut-purchases-ahead-of-u-s-sanctions-deadline-a911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kpandi.com/fileadmin/uploads/ukpandi/00_Documents/Circulars/2026/Circular_20.25__update_.pdf" TargetMode="External"/><Relationship Id="rId24" Type="http://schemas.openxmlformats.org/officeDocument/2006/relationships/hyperlink" Target="https://meduza.io/en/news/2026/04/09/russia-s-oil-and-gas-revenues-fall-45-in-first-quarter-as-budget-deficit-exceeds-full-year-target" TargetMode="External"/><Relationship Id="rId32" Type="http://schemas.openxmlformats.org/officeDocument/2006/relationships/hyperlink" Target="https://www.rosneft.com/press/releases/item/222585/" TargetMode="External"/><Relationship Id="rId5" Type="http://schemas.openxmlformats.org/officeDocument/2006/relationships/webSettings" Target="webSettings.xml"/><Relationship Id="rId15" Type="http://schemas.openxmlformats.org/officeDocument/2006/relationships/hyperlink" Target="https://discoveryalert.com.au/russian-oil-revenue-urals-crude-brent-discount-2026/" TargetMode="External"/><Relationship Id="rId23" Type="http://schemas.openxmlformats.org/officeDocument/2006/relationships/hyperlink" Target="https://www.themoscowtimes.com/2026/04/09/russias-federal-budget-deficit-blows-past-annual-target-in-just-3-months-a92460" TargetMode="External"/><Relationship Id="rId28" Type="http://schemas.openxmlformats.org/officeDocument/2006/relationships/hyperlink" Target="https://www.cnn.com/2025/10/28/energy/us-russian-oil-sanctions-china-india-intl-hnk-dst" TargetMode="External"/><Relationship Id="rId10" Type="http://schemas.openxmlformats.org/officeDocument/2006/relationships/hyperlink" Target="https://www.cov.com/en/news-and-insights/insights/2025/10/us-and-uk-sanctions-target-russias-two-largest-oil-companies-eu-issues-significant-new-russia-and-belarus-sanctions-package" TargetMode="External"/><Relationship Id="rId19" Type="http://schemas.openxmlformats.org/officeDocument/2006/relationships/hyperlink" Target="https://www.cnbc.com/2025/11/30/opec-holds-2026-group-wide-oil-output-steady-agrees-capacity-mechanism.html" TargetMode="External"/><Relationship Id="rId31" Type="http://schemas.openxmlformats.org/officeDocument/2006/relationships/hyperlink" Target="https://www.themoscowtimes.com/2026/09/10/rosnefts-ryazan-oil-refinery-shuts-down-after-drone-attack-industry-sources-say-a93678" TargetMode="External"/><Relationship Id="rId4" Type="http://schemas.openxmlformats.org/officeDocument/2006/relationships/settings" Target="settings.xml"/><Relationship Id="rId9" Type="http://schemas.openxmlformats.org/officeDocument/2006/relationships/hyperlink" Target="https://www.goodwinlaw.com/en/insights/publications/2025/10/alerts-otherindustries-crude-awakening-ofac-sanctions-rosneft-and-lukoil" TargetMode="External"/><Relationship Id="rId14" Type="http://schemas.openxmlformats.org/officeDocument/2006/relationships/hyperlink" Target="https://www.brookings.edu/articles/stiffening-european-sanctions-against-the-russian-oil-trade/" TargetMode="External"/><Relationship Id="rId22" Type="http://schemas.openxmlformats.org/officeDocument/2006/relationships/hyperlink" Target="https://interfax.com/newsroom/top-stories/117080/" TargetMode="External"/><Relationship Id="rId27" Type="http://schemas.openxmlformats.org/officeDocument/2006/relationships/hyperlink" Target="https://www.business-standard.com/companies/news/lenders-cautious-nayara-energy-exposure-eu-sanctions-125081201990_1.html" TargetMode="External"/><Relationship Id="rId30" Type="http://schemas.openxmlformats.org/officeDocument/2006/relationships/hyperlink" Target="https://www.themoscowtimes.com/2025/08/08/russian-oil-refinery-capacity-drops-nearly-10-after-ukrainian-drone-strikes-a90137" TargetMode="External"/><Relationship Id="rId35" Type="http://schemas.openxmlformats.org/officeDocument/2006/relationships/theme" Target="theme/theme1.xml"/><Relationship Id="rId8" Type="http://schemas.openxmlformats.org/officeDocument/2006/relationships/hyperlink" Target="https://www.sullcrom.com/insights/memo/2025/October/United-States-Sanctions-Significant-Russian-Oil-Companies-Rosneft-Luko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13</Pages>
  <Words>3792</Words>
  <Characters>21621</Characters>
  <Application>Microsoft Office Word</Application>
  <DocSecurity>0</DocSecurity>
  <Lines>180</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Xavier Aliaga</cp:lastModifiedBy>
  <cp:revision>5</cp:revision>
  <dcterms:created xsi:type="dcterms:W3CDTF">2013-12-23T23:15:00Z</dcterms:created>
  <dcterms:modified xsi:type="dcterms:W3CDTF">2026-09-14T12:34:00Z</dcterms:modified>
  <cp:category/>
</cp:coreProperties>
</file>