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07 - Real gas thermodynamics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Implementation of PengRobinson real gas model, departure functions for Cp, Cv and enthalpy based on NASA coefficients and high transport coefficients to calculate mu and kappa (Chung et al.) and it was validated against NIST. Results below at 4MPa.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6015506" cy="3725512"/>
            <wp:effectExtent b="0" l="0" r="0" t="0"/>
            <wp:docPr id="1" name="image1.jpg"/>
            <a:graphic>
              <a:graphicData uri="http://schemas.openxmlformats.org/drawingml/2006/picture">
                <pic:pic>
                  <pic:nvPicPr>
                    <pic:cNvPr id="0" name="image1.jpg"/>
                    <pic:cNvPicPr preferRelativeResize="0"/>
                  </pic:nvPicPr>
                  <pic:blipFill>
                    <a:blip r:embed="rId6"/>
                    <a:srcRect b="0" l="4983" r="7308" t="0"/>
                    <a:stretch>
                      <a:fillRect/>
                    </a:stretch>
                  </pic:blipFill>
                  <pic:spPr>
                    <a:xfrm>
                      <a:off x="0" y="0"/>
                      <a:ext cx="6015506" cy="3725512"/>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