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Service Registry Use Case Diagram</w:t>
      </w:r>
    </w:p>
    <w:p w:rsidR="00000000" w:rsidDel="00000000" w:rsidP="00000000" w:rsidRDefault="00000000" w:rsidRPr="00000000" w14:paraId="00000002">
      <w:pPr>
        <w:pStyle w:val="Heading2"/>
        <w:rPr/>
      </w:pPr>
      <w:bookmarkStart w:colFirst="0" w:colLast="0" w:name="_r86dj9e6sx5j" w:id="1"/>
      <w:bookmarkEnd w:id="1"/>
      <w:r w:rsidDel="00000000" w:rsidR="00000000" w:rsidRPr="00000000">
        <w:rPr>
          <w:rtl w:val="0"/>
        </w:rPr>
        <w:t xml:space="preserve">Section 1: The Primary Presentation</w:t>
      </w:r>
    </w:p>
    <w:p w:rsidR="00000000" w:rsidDel="00000000" w:rsidP="00000000" w:rsidRDefault="00000000" w:rsidRPr="00000000" w14:paraId="00000003">
      <w:pPr>
        <w:rPr/>
      </w:pPr>
      <w:r w:rsidDel="00000000" w:rsidR="00000000" w:rsidRPr="00000000">
        <w:rPr/>
        <w:drawing>
          <wp:inline distB="114300" distT="114300" distL="114300" distR="114300">
            <wp:extent cx="4219575" cy="2695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9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4w7jcz42ro9s" w:id="2"/>
      <w:bookmarkEnd w:id="2"/>
      <w:r w:rsidDel="00000000" w:rsidR="00000000" w:rsidRPr="00000000">
        <w:rPr>
          <w:rtl w:val="0"/>
        </w:rPr>
        <w:t xml:space="preserve">Section 2: The Element Catalog</w:t>
      </w:r>
    </w:p>
    <w:p w:rsidR="00000000" w:rsidDel="00000000" w:rsidP="00000000" w:rsidRDefault="00000000" w:rsidRPr="00000000" w14:paraId="00000005">
      <w:pPr>
        <w:pStyle w:val="Heading3"/>
        <w:rPr/>
      </w:pPr>
      <w:bookmarkStart w:colFirst="0" w:colLast="0" w:name="_qdqckgiq3ye6" w:id="3"/>
      <w:bookmarkEnd w:id="3"/>
      <w:r w:rsidDel="00000000" w:rsidR="00000000" w:rsidRPr="00000000">
        <w:rPr>
          <w:rtl w:val="0"/>
        </w:rPr>
        <w:t xml:space="preserve">2.1 Elements and their properties</w:t>
      </w:r>
    </w:p>
    <w:p w:rsidR="00000000" w:rsidDel="00000000" w:rsidP="00000000" w:rsidRDefault="00000000" w:rsidRPr="00000000" w14:paraId="00000006">
      <w:pPr>
        <w:rPr/>
      </w:pPr>
      <w:r w:rsidDel="00000000" w:rsidR="00000000" w:rsidRPr="00000000">
        <w:rPr>
          <w:rtl w:val="0"/>
        </w:rPr>
        <w:t xml:space="preserve">The stick-figure element represents an actor, from which the use case is initiated. Each oval represents a use case, which is a specific situation for which the product can be used. Lastly, there is the database element, which participates in the action by providing data back.</w:t>
      </w:r>
    </w:p>
    <w:p w:rsidR="00000000" w:rsidDel="00000000" w:rsidP="00000000" w:rsidRDefault="00000000" w:rsidRPr="00000000" w14:paraId="00000007">
      <w:pPr>
        <w:pStyle w:val="Heading3"/>
        <w:rPr/>
      </w:pPr>
      <w:bookmarkStart w:colFirst="0" w:colLast="0" w:name="_fm78yr7ikyxa" w:id="4"/>
      <w:bookmarkEnd w:id="4"/>
      <w:r w:rsidDel="00000000" w:rsidR="00000000" w:rsidRPr="00000000">
        <w:rPr>
          <w:rtl w:val="0"/>
        </w:rPr>
        <w:t xml:space="preserve">2.2 Relations and their properties</w:t>
      </w:r>
    </w:p>
    <w:p w:rsidR="00000000" w:rsidDel="00000000" w:rsidP="00000000" w:rsidRDefault="00000000" w:rsidRPr="00000000" w14:paraId="00000008">
      <w:pPr>
        <w:rPr/>
      </w:pPr>
      <w:r w:rsidDel="00000000" w:rsidR="00000000" w:rsidRPr="00000000">
        <w:rPr>
          <w:rtl w:val="0"/>
        </w:rPr>
        <w:t xml:space="preserve">Solid lines represent associations, by which the elements are joined. The segmented lines represent the inclusion of separate use cases, within others.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qclzco1pbxu" w:id="5"/>
      <w:bookmarkEnd w:id="5"/>
      <w:r w:rsidDel="00000000" w:rsidR="00000000" w:rsidRPr="00000000">
        <w:rPr>
          <w:rtl w:val="0"/>
        </w:rPr>
        <w:t xml:space="preserve">Section 3: Context Diagram</w:t>
      </w:r>
    </w:p>
    <w:p w:rsidR="00000000" w:rsidDel="00000000" w:rsidP="00000000" w:rsidRDefault="00000000" w:rsidRPr="00000000" w14:paraId="0000000B">
      <w:pPr>
        <w:rPr/>
      </w:pPr>
      <w:r w:rsidDel="00000000" w:rsidR="00000000" w:rsidRPr="00000000">
        <w:rPr/>
        <w:drawing>
          <wp:inline distB="114300" distT="114300" distL="114300" distR="114300">
            <wp:extent cx="5734050" cy="3886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lp991rd8xqsx" w:id="6"/>
      <w:bookmarkEnd w:id="6"/>
      <w:r w:rsidDel="00000000" w:rsidR="00000000" w:rsidRPr="00000000">
        <w:rPr>
          <w:rtl w:val="0"/>
        </w:rPr>
        <w:t xml:space="preserve">Section 4: Variability Guide</w:t>
      </w:r>
    </w:p>
    <w:p w:rsidR="00000000" w:rsidDel="00000000" w:rsidP="00000000" w:rsidRDefault="00000000" w:rsidRPr="00000000" w14:paraId="0000000D">
      <w:pPr>
        <w:rPr/>
      </w:pPr>
      <w:r w:rsidDel="00000000" w:rsidR="00000000" w:rsidRPr="00000000">
        <w:rPr>
          <w:rtl w:val="0"/>
        </w:rPr>
        <w:t xml:space="preserve">There are no variation points for this diagram.</w:t>
      </w:r>
    </w:p>
    <w:p w:rsidR="00000000" w:rsidDel="00000000" w:rsidP="00000000" w:rsidRDefault="00000000" w:rsidRPr="00000000" w14:paraId="0000000E">
      <w:pPr>
        <w:pStyle w:val="Heading2"/>
        <w:rPr/>
      </w:pPr>
      <w:bookmarkStart w:colFirst="0" w:colLast="0" w:name="_2of1qssaa1g9" w:id="7"/>
      <w:bookmarkEnd w:id="7"/>
      <w:r w:rsidDel="00000000" w:rsidR="00000000" w:rsidRPr="00000000">
        <w:rPr>
          <w:rtl w:val="0"/>
        </w:rPr>
        <w:t xml:space="preserve">Section 5: Rationale</w:t>
      </w:r>
    </w:p>
    <w:p w:rsidR="00000000" w:rsidDel="00000000" w:rsidP="00000000" w:rsidRDefault="00000000" w:rsidRPr="00000000" w14:paraId="0000000F">
      <w:pPr>
        <w:rPr/>
      </w:pPr>
      <w:r w:rsidDel="00000000" w:rsidR="00000000" w:rsidRPr="00000000">
        <w:rPr>
          <w:rtl w:val="0"/>
        </w:rPr>
        <w:t xml:space="preserve">This diagram demonstrates the method by which the system enacts the microservice structure, restricting access to specific services. This then allows the Admin to edit and delete services on the fly with little impact on the end user. It also enables the user to search for available services.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