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 xml:space="preserve">CEAFA, Censo de las </w:t>
      </w:r>
      <w:proofErr w:type="spellStart"/>
      <w:r>
        <w:t>personas</w:t>
      </w:r>
      <w:proofErr w:type="spellEnd"/>
      <w:r>
        <w:t xml:space="preserve"> con Alzheimer y </w:t>
      </w:r>
      <w:proofErr w:type="spellStart"/>
      <w:r>
        <w:t>otras</w:t>
      </w:r>
      <w:proofErr w:type="spellEnd"/>
      <w:r>
        <w:t xml:space="preserve"> </w:t>
      </w:r>
      <w:proofErr w:type="spellStart"/>
      <w:r>
        <w:t>demencias</w:t>
      </w:r>
      <w:proofErr w:type="spellEnd"/>
      <w:r>
        <w:t xml:space="preserve"> en España</w:t>
      </w:r>
      <w:r w:rsidR="005D7C3D">
        <w:t xml:space="preserve">, </w:t>
      </w:r>
      <w:proofErr w:type="spellStart"/>
      <w:r w:rsidR="005D7C3D">
        <w:t>Ministerio</w:t>
      </w:r>
      <w:proofErr w:type="spellEnd"/>
      <w:r w:rsidR="005D7C3D">
        <w:t xml:space="preserve"> de </w:t>
      </w:r>
      <w:proofErr w:type="spellStart"/>
      <w:r w:rsidR="005D7C3D">
        <w:t>derechos</w:t>
      </w:r>
      <w:proofErr w:type="spellEnd"/>
      <w:r w:rsidR="005D7C3D">
        <w:t xml:space="preserve"> </w:t>
      </w:r>
      <w:proofErr w:type="spellStart"/>
      <w:r w:rsidR="005D7C3D">
        <w:t>sociales</w:t>
      </w:r>
      <w:proofErr w:type="spellEnd"/>
      <w:r w:rsidR="005D7C3D">
        <w:t xml:space="preserve">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proofErr w:type="spellStart"/>
            <w:r>
              <w:t>Asturies</w:t>
            </w:r>
            <w:proofErr w:type="spellEnd"/>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proofErr w:type="spellStart"/>
            <w:r>
              <w:t>Canaries</w:t>
            </w:r>
            <w:proofErr w:type="spellEnd"/>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proofErr w:type="spellStart"/>
            <w:r>
              <w:t>Múrica</w:t>
            </w:r>
            <w:proofErr w:type="spellEnd"/>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proofErr w:type="spellStart"/>
            <w:r>
              <w:t>Euskalerria</w:t>
            </w:r>
            <w:proofErr w:type="spellEnd"/>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proofErr w:type="spellStart"/>
            <w:r>
              <w:t>Ceutra</w:t>
            </w:r>
            <w:proofErr w:type="spellEnd"/>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proofErr w:type="spellStart"/>
      <w:r>
        <w:t>Distribucio</w:t>
      </w:r>
      <w:proofErr w:type="spellEnd"/>
      <w:r>
        <w:t xml:space="preserve"> territorial dels casos enregistrats de persones amb demència l’any 2019. </w:t>
      </w:r>
      <w:proofErr w:type="spellStart"/>
      <w:r>
        <w:t>El·laborat</w:t>
      </w:r>
      <w:proofErr w:type="spellEnd"/>
      <w:r>
        <w:t xml:space="preserve">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proofErr w:type="spellStart"/>
      <w:r>
        <w:lastRenderedPageBreak/>
        <w:t>Mediagraphic</w:t>
      </w:r>
      <w:proofErr w:type="spellEnd"/>
      <w:r>
        <w:t xml:space="preserve">, </w:t>
      </w:r>
      <w:proofErr w:type="spellStart"/>
      <w:r>
        <w:t>Enfermedad</w:t>
      </w:r>
      <w:proofErr w:type="spellEnd"/>
      <w:r>
        <w:t xml:space="preserve"> de Alzheimer. Clínica, diagnostico y neuropatologia, 2004, </w:t>
      </w:r>
      <w:hyperlink r:id="rId7"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w:t>
      </w:r>
      <w:proofErr w:type="spellStart"/>
      <w:r>
        <w:rPr>
          <w:sz w:val="24"/>
          <w:szCs w:val="24"/>
        </w:rPr>
        <w:t>visuoespacial</w:t>
      </w:r>
      <w:proofErr w:type="spellEnd"/>
      <w:r>
        <w:rPr>
          <w:sz w:val="24"/>
          <w:szCs w:val="24"/>
        </w:rPr>
        <w:t xml:space="preserve">, personalitat i coneixement. Es tracta d’un síndrome </w:t>
      </w:r>
      <w:proofErr w:type="spellStart"/>
      <w:r>
        <w:rPr>
          <w:sz w:val="24"/>
          <w:szCs w:val="24"/>
        </w:rPr>
        <w:t>plurietològic</w:t>
      </w:r>
      <w:proofErr w:type="spellEnd"/>
      <w:r>
        <w:rPr>
          <w:sz w:val="24"/>
          <w:szCs w:val="24"/>
        </w:rPr>
        <w:t>. Més d’una seixantena de processos patològics poden ser causants d’alguns tipus de demència.</w:t>
      </w:r>
    </w:p>
    <w:p w14:paraId="544FC01F" w14:textId="290E3704" w:rsidR="00F61C71" w:rsidRDefault="00F61C71" w:rsidP="00F61C71">
      <w:pPr>
        <w:pStyle w:val="IntenseQuote"/>
      </w:pPr>
      <w:hyperlink r:id="rId8" w:history="1">
        <w:r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3A7076" w:rsidP="003A7076">
      <w:pPr>
        <w:pStyle w:val="IntenseQuote"/>
      </w:pPr>
      <w:hyperlink r:id="rId9" w:history="1">
        <w:r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w:t>
      </w:r>
      <w:proofErr w:type="spellStart"/>
      <w:r>
        <w:rPr>
          <w:sz w:val="24"/>
          <w:szCs w:val="24"/>
        </w:rPr>
        <w:t>memantina</w:t>
      </w:r>
      <w:proofErr w:type="spellEnd"/>
      <w:r>
        <w:rPr>
          <w:sz w:val="24"/>
          <w:szCs w:val="24"/>
        </w:rPr>
        <w:t xml:space="preserve">.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6FE9AB53" w14:textId="3722F0D2" w:rsidR="00AE6C86" w:rsidRDefault="00AE6C86" w:rsidP="00AE6C86">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527D7B89" w14:textId="18EB4910" w:rsidR="00D16905" w:rsidRDefault="00C9550B" w:rsidP="00D16905">
      <w:pPr>
        <w:pStyle w:val="IntenseQuote"/>
      </w:pPr>
      <w:hyperlink r:id="rId10" w:history="1">
        <w:r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D16905" w:rsidP="00D16905">
      <w:pPr>
        <w:pStyle w:val="ListParagraph"/>
        <w:numPr>
          <w:ilvl w:val="0"/>
          <w:numId w:val="3"/>
        </w:numPr>
        <w:jc w:val="both"/>
        <w:rPr>
          <w:sz w:val="24"/>
          <w:szCs w:val="24"/>
        </w:rPr>
      </w:pPr>
      <w:hyperlink r:id="rId11" w:history="1">
        <w:r w:rsidRPr="00D16905">
          <w:rPr>
            <w:rStyle w:val="Hyperlink"/>
            <w:sz w:val="24"/>
            <w:szCs w:val="24"/>
          </w:rPr>
          <w:t>Fundació Pasqual Maragall</w:t>
        </w:r>
      </w:hyperlink>
    </w:p>
    <w:p w14:paraId="556CA5C4" w14:textId="1BD3F574" w:rsidR="00D16905" w:rsidRPr="00D16905" w:rsidRDefault="00D16905" w:rsidP="00D16905">
      <w:pPr>
        <w:pStyle w:val="ListParagraph"/>
        <w:numPr>
          <w:ilvl w:val="0"/>
          <w:numId w:val="3"/>
        </w:numPr>
        <w:jc w:val="both"/>
        <w:rPr>
          <w:sz w:val="24"/>
          <w:szCs w:val="24"/>
        </w:rPr>
      </w:pPr>
      <w:hyperlink r:id="rId12" w:history="1">
        <w:r w:rsidRPr="00D16905">
          <w:rPr>
            <w:rStyle w:val="Hyperlink"/>
            <w:sz w:val="24"/>
            <w:szCs w:val="24"/>
          </w:rPr>
          <w:t>Confederació espanyola de familiars malalts d’Alzheimer i altres demències (CEAFA)</w:t>
        </w:r>
      </w:hyperlink>
    </w:p>
    <w:p w14:paraId="62A3B33E" w14:textId="64EF441C" w:rsidR="00D16905" w:rsidRDefault="00D16905" w:rsidP="00D16905">
      <w:pPr>
        <w:pStyle w:val="ListParagraph"/>
        <w:numPr>
          <w:ilvl w:val="0"/>
          <w:numId w:val="3"/>
        </w:numPr>
        <w:jc w:val="both"/>
        <w:rPr>
          <w:sz w:val="24"/>
          <w:szCs w:val="24"/>
        </w:rPr>
      </w:pPr>
      <w:hyperlink r:id="rId13" w:history="1">
        <w:r w:rsidRPr="00D16905">
          <w:rPr>
            <w:rStyle w:val="Hyperlink"/>
            <w:sz w:val="24"/>
            <w:szCs w:val="24"/>
          </w:rPr>
          <w:t>Fundació Alzheimer Espanya</w:t>
        </w:r>
      </w:hyperlink>
    </w:p>
    <w:p w14:paraId="4A14E09B" w14:textId="516B346D" w:rsidR="00BF2A31" w:rsidRDefault="00BF2A31" w:rsidP="00D16905">
      <w:pPr>
        <w:pStyle w:val="ListParagraph"/>
        <w:numPr>
          <w:ilvl w:val="0"/>
          <w:numId w:val="3"/>
        </w:numPr>
        <w:jc w:val="both"/>
        <w:rPr>
          <w:sz w:val="24"/>
          <w:szCs w:val="24"/>
        </w:rPr>
      </w:pPr>
      <w:hyperlink r:id="rId14" w:history="1">
        <w:r w:rsidRPr="00BF2A31">
          <w:rPr>
            <w:rStyle w:val="Hyperlink"/>
            <w:sz w:val="24"/>
            <w:szCs w:val="24"/>
          </w:rPr>
          <w:t>Associació familiars Alzheimer València</w:t>
        </w:r>
      </w:hyperlink>
    </w:p>
    <w:p w14:paraId="18C709EC" w14:textId="0930DBCB" w:rsidR="00BF2A31" w:rsidRDefault="00BF2A31" w:rsidP="00D16905">
      <w:pPr>
        <w:pStyle w:val="ListParagraph"/>
        <w:numPr>
          <w:ilvl w:val="0"/>
          <w:numId w:val="3"/>
        </w:numPr>
        <w:jc w:val="both"/>
        <w:rPr>
          <w:sz w:val="24"/>
          <w:szCs w:val="24"/>
        </w:rPr>
      </w:pPr>
      <w:hyperlink r:id="rId15" w:history="1">
        <w:r w:rsidRPr="00BF2A31">
          <w:rPr>
            <w:rStyle w:val="Hyperlink"/>
            <w:sz w:val="24"/>
            <w:szCs w:val="24"/>
          </w:rPr>
          <w:t>Federació Valenciana d’associacions de familiars i amics de persones amb Alzheimer</w:t>
        </w:r>
      </w:hyperlink>
    </w:p>
    <w:p w14:paraId="326CA621" w14:textId="0E58FBCC" w:rsidR="00BF2A31" w:rsidRDefault="00BF2A31" w:rsidP="00D16905">
      <w:pPr>
        <w:pStyle w:val="ListParagraph"/>
        <w:numPr>
          <w:ilvl w:val="0"/>
          <w:numId w:val="3"/>
        </w:numPr>
        <w:jc w:val="both"/>
        <w:rPr>
          <w:sz w:val="24"/>
          <w:szCs w:val="24"/>
        </w:rPr>
      </w:pPr>
      <w:hyperlink r:id="rId16" w:history="1">
        <w:r w:rsidRPr="00BF2A31">
          <w:rPr>
            <w:rStyle w:val="Hyperlink"/>
            <w:sz w:val="24"/>
            <w:szCs w:val="24"/>
          </w:rPr>
          <w:t>Federació catalana Alzheimer</w:t>
        </w:r>
      </w:hyperlink>
    </w:p>
    <w:p w14:paraId="06C08500" w14:textId="29875274" w:rsidR="00BF2A31" w:rsidRDefault="00BF2A31" w:rsidP="00D16905">
      <w:pPr>
        <w:pStyle w:val="ListParagraph"/>
        <w:numPr>
          <w:ilvl w:val="0"/>
          <w:numId w:val="3"/>
        </w:numPr>
        <w:jc w:val="both"/>
        <w:rPr>
          <w:sz w:val="24"/>
          <w:szCs w:val="24"/>
        </w:rPr>
      </w:pPr>
      <w:hyperlink r:id="rId17" w:history="1">
        <w:r w:rsidRPr="00BF2A31">
          <w:rPr>
            <w:rStyle w:val="Hyperlink"/>
            <w:sz w:val="24"/>
            <w:szCs w:val="24"/>
          </w:rPr>
          <w:t>Associació de familiars de malalts d’Alzheimer i altres demències de Lleida</w:t>
        </w:r>
      </w:hyperlink>
    </w:p>
    <w:p w14:paraId="4772F8F1" w14:textId="5264482C" w:rsidR="00BF2A31" w:rsidRPr="00BF2A31" w:rsidRDefault="00BF2A31" w:rsidP="00D16905">
      <w:pPr>
        <w:pStyle w:val="ListParagraph"/>
        <w:numPr>
          <w:ilvl w:val="0"/>
          <w:numId w:val="3"/>
        </w:numPr>
        <w:jc w:val="both"/>
        <w:rPr>
          <w:sz w:val="24"/>
          <w:szCs w:val="24"/>
          <w:lang w:val="es-ES"/>
        </w:rPr>
      </w:pPr>
      <w:hyperlink r:id="rId18" w:history="1">
        <w:r w:rsidRPr="00BF2A31">
          <w:rPr>
            <w:rStyle w:val="Hyperlink"/>
            <w:sz w:val="24"/>
            <w:szCs w:val="24"/>
            <w:lang w:val="es-ES"/>
          </w:rPr>
          <w:t>Asociación de familiares de enfermos de Alzheimer de la Región de M</w:t>
        </w:r>
        <w:r>
          <w:rPr>
            <w:rStyle w:val="Hyperlink"/>
            <w:sz w:val="24"/>
            <w:szCs w:val="24"/>
            <w:lang w:val="es-ES"/>
          </w:rPr>
          <w:t>u</w:t>
        </w:r>
        <w:r w:rsidRPr="00BF2A31">
          <w:rPr>
            <w:rStyle w:val="Hyperlink"/>
            <w:sz w:val="24"/>
            <w:szCs w:val="24"/>
            <w:lang w:val="es-ES"/>
          </w:rPr>
          <w:t>rcia</w:t>
        </w:r>
      </w:hyperlink>
    </w:p>
    <w:p w14:paraId="3EC61334" w14:textId="019AB49B" w:rsidR="00BF2A31" w:rsidRDefault="00BF2A31" w:rsidP="00D16905">
      <w:pPr>
        <w:pStyle w:val="ListParagraph"/>
        <w:numPr>
          <w:ilvl w:val="0"/>
          <w:numId w:val="3"/>
        </w:numPr>
        <w:jc w:val="both"/>
        <w:rPr>
          <w:sz w:val="24"/>
          <w:szCs w:val="24"/>
          <w:lang w:val="es-ES"/>
        </w:rPr>
      </w:pPr>
      <w:hyperlink r:id="rId19" w:history="1">
        <w:r w:rsidRPr="00BF2A31">
          <w:rPr>
            <w:rStyle w:val="Hyperlink"/>
            <w:sz w:val="24"/>
            <w:szCs w:val="24"/>
            <w:lang w:val="es-ES"/>
          </w:rPr>
          <w:t>Federación de asociaciones de familiares enfermos de Alzheimer de la Comunidad de Madrid</w:t>
        </w:r>
      </w:hyperlink>
    </w:p>
    <w:p w14:paraId="270F432D" w14:textId="23DDA18D" w:rsidR="00BF2A31" w:rsidRDefault="00C9550B" w:rsidP="00D16905">
      <w:pPr>
        <w:pStyle w:val="ListParagraph"/>
        <w:numPr>
          <w:ilvl w:val="0"/>
          <w:numId w:val="3"/>
        </w:numPr>
        <w:jc w:val="both"/>
        <w:rPr>
          <w:sz w:val="24"/>
          <w:szCs w:val="24"/>
          <w:lang w:val="es-ES"/>
        </w:rPr>
      </w:pPr>
      <w:hyperlink r:id="rId20" w:history="1">
        <w:r w:rsidR="00BF2A31" w:rsidRPr="00C9550B">
          <w:rPr>
            <w:rStyle w:val="Hyperlink"/>
            <w:sz w:val="24"/>
            <w:szCs w:val="24"/>
            <w:lang w:val="es-ES"/>
          </w:rPr>
          <w:t>Federación regional de asociaciones de familiares de enfermos de Alzheimer</w:t>
        </w:r>
        <w:r w:rsidRPr="00C9550B">
          <w:rPr>
            <w:rStyle w:val="Hyperlink"/>
            <w:sz w:val="24"/>
            <w:szCs w:val="24"/>
            <w:lang w:val="es-ES"/>
          </w:rPr>
          <w:t xml:space="preserve"> de Castilla y León</w:t>
        </w:r>
      </w:hyperlink>
    </w:p>
    <w:p w14:paraId="088B627C" w14:textId="075CDF2B" w:rsidR="00C9550B" w:rsidRDefault="00C9550B" w:rsidP="00D16905">
      <w:pPr>
        <w:pStyle w:val="ListParagraph"/>
        <w:numPr>
          <w:ilvl w:val="0"/>
          <w:numId w:val="3"/>
        </w:numPr>
        <w:jc w:val="both"/>
        <w:rPr>
          <w:sz w:val="24"/>
          <w:szCs w:val="24"/>
          <w:lang w:val="es-ES"/>
        </w:rPr>
      </w:pPr>
      <w:hyperlink r:id="rId21" w:history="1">
        <w:r w:rsidRPr="00C9550B">
          <w:rPr>
            <w:rStyle w:val="Hyperlink"/>
            <w:sz w:val="24"/>
            <w:szCs w:val="24"/>
            <w:lang w:val="es-ES"/>
          </w:rPr>
          <w:t>Asociación de familiares de enfermos de Alzheimer Santa Elena</w:t>
        </w:r>
      </w:hyperlink>
    </w:p>
    <w:p w14:paraId="10EA2BC6" w14:textId="23E56DEC" w:rsidR="00C9550B" w:rsidRDefault="00C9550B" w:rsidP="00D16905">
      <w:pPr>
        <w:pStyle w:val="ListParagraph"/>
        <w:numPr>
          <w:ilvl w:val="0"/>
          <w:numId w:val="3"/>
        </w:numPr>
        <w:jc w:val="both"/>
        <w:rPr>
          <w:sz w:val="24"/>
          <w:szCs w:val="24"/>
          <w:lang w:val="es-ES"/>
        </w:rPr>
      </w:pPr>
      <w:hyperlink r:id="rId22" w:history="1">
        <w:r w:rsidRPr="00C9550B">
          <w:rPr>
            <w:rStyle w:val="Hyperlink"/>
            <w:sz w:val="24"/>
            <w:szCs w:val="24"/>
            <w:lang w:val="es-ES"/>
          </w:rPr>
          <w:t>Asociación de Familiares de enfermos de Alzheimer y otras demencias de Galicia</w:t>
        </w:r>
      </w:hyperlink>
    </w:p>
    <w:p w14:paraId="33B6C496" w14:textId="5FB26BDA" w:rsidR="00C9550B" w:rsidRPr="00BF2A31" w:rsidRDefault="00C9550B" w:rsidP="00D16905">
      <w:pPr>
        <w:pStyle w:val="ListParagraph"/>
        <w:numPr>
          <w:ilvl w:val="0"/>
          <w:numId w:val="3"/>
        </w:numPr>
        <w:jc w:val="both"/>
        <w:rPr>
          <w:sz w:val="24"/>
          <w:szCs w:val="24"/>
          <w:lang w:val="es-ES"/>
        </w:rPr>
      </w:pPr>
      <w:hyperlink r:id="rId23" w:history="1">
        <w:r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F61C71" w:rsidP="00F61C71">
      <w:pPr>
        <w:pStyle w:val="IntenseQuote"/>
      </w:pPr>
      <w:hyperlink r:id="rId24" w:history="1">
        <w:r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 xml:space="preserve">L’any 1901, el psiquiatra alemany </w:t>
      </w:r>
      <w:proofErr w:type="spellStart"/>
      <w:r>
        <w:rPr>
          <w:sz w:val="24"/>
          <w:szCs w:val="24"/>
        </w:rPr>
        <w:t>Alois</w:t>
      </w:r>
      <w:proofErr w:type="spellEnd"/>
      <w:r>
        <w:rPr>
          <w:sz w:val="24"/>
          <w:szCs w:val="24"/>
        </w:rPr>
        <w:t xml:space="preserve"> Alzheimer es va topar amb els estranys símptomes de comportament </w:t>
      </w:r>
      <w:proofErr w:type="spellStart"/>
      <w:r>
        <w:rPr>
          <w:sz w:val="24"/>
          <w:szCs w:val="24"/>
        </w:rPr>
        <w:t>d’Auguste</w:t>
      </w:r>
      <w:proofErr w:type="spellEnd"/>
      <w:r>
        <w:rPr>
          <w:sz w:val="24"/>
          <w:szCs w:val="24"/>
        </w:rPr>
        <w:t xml:space="preserve"> </w:t>
      </w:r>
      <w:proofErr w:type="spellStart"/>
      <w:r>
        <w:rPr>
          <w:sz w:val="24"/>
          <w:szCs w:val="24"/>
        </w:rPr>
        <w:t>Deter</w:t>
      </w:r>
      <w:proofErr w:type="spellEnd"/>
      <w:r>
        <w:rPr>
          <w:sz w:val="24"/>
          <w:szCs w:val="24"/>
        </w:rPr>
        <w:t xml:space="preserve">, una pacient de 51 anys. Ella patia pèrdua de memòria a curt termini i al·lucinacions auditives, i el doctor es va quedar perplex. Descobrir els motius del comportament de la seva pacient es va convertir en l’obsessió d’Alzheimer i cinc anys després, quan </w:t>
      </w:r>
      <w:proofErr w:type="spellStart"/>
      <w:r>
        <w:rPr>
          <w:sz w:val="24"/>
          <w:szCs w:val="24"/>
        </w:rPr>
        <w:t>Deter</w:t>
      </w:r>
      <w:proofErr w:type="spellEnd"/>
      <w:r>
        <w:rPr>
          <w:sz w:val="24"/>
          <w:szCs w:val="24"/>
        </w:rPr>
        <w:t xml:space="preserve"> va morir en un asil de Frankfurt, Alzheimer va conservar tant l’historial clínic com estudis del cervell de la pacient. Va portar aquests descobriments a Munich per treballar al laboratori </w:t>
      </w:r>
      <w:proofErr w:type="spellStart"/>
      <w:r>
        <w:rPr>
          <w:sz w:val="24"/>
          <w:szCs w:val="24"/>
        </w:rPr>
        <w:t>d’Emil</w:t>
      </w:r>
      <w:proofErr w:type="spellEnd"/>
      <w:r>
        <w:rPr>
          <w:sz w:val="24"/>
          <w:szCs w:val="24"/>
        </w:rPr>
        <w:t xml:space="preserve"> </w:t>
      </w:r>
      <w:proofErr w:type="spellStart"/>
      <w:r>
        <w:rPr>
          <w:sz w:val="24"/>
          <w:szCs w:val="24"/>
        </w:rPr>
        <w:t>Kraepelin</w:t>
      </w:r>
      <w:proofErr w:type="spellEnd"/>
      <w:r>
        <w:rPr>
          <w:sz w:val="24"/>
          <w:szCs w:val="24"/>
        </w:rPr>
        <w:t>,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 xml:space="preserve">El doctor va presentar el cas de la seva pacient </w:t>
      </w:r>
      <w:proofErr w:type="spellStart"/>
      <w:r>
        <w:rPr>
          <w:sz w:val="24"/>
          <w:szCs w:val="24"/>
        </w:rPr>
        <w:t>Auguste</w:t>
      </w:r>
      <w:proofErr w:type="spellEnd"/>
      <w:r>
        <w:rPr>
          <w:sz w:val="24"/>
          <w:szCs w:val="24"/>
        </w:rPr>
        <w:t xml:space="preserve"> en una reunió de psiquiatria, però no va generar molt interès. No obstant això, al 1910, el Dr. </w:t>
      </w:r>
      <w:proofErr w:type="spellStart"/>
      <w:r>
        <w:rPr>
          <w:sz w:val="24"/>
          <w:szCs w:val="24"/>
        </w:rPr>
        <w:t>Kraepelin</w:t>
      </w:r>
      <w:proofErr w:type="spellEnd"/>
      <w:r>
        <w:rPr>
          <w:sz w:val="24"/>
          <w:szCs w:val="24"/>
        </w:rPr>
        <w:t xml:space="preserve">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11CC97E3" w:rsidR="001D767E" w:rsidRPr="00F61C71" w:rsidRDefault="001D767E" w:rsidP="00F61C71">
      <w:pPr>
        <w:jc w:val="both"/>
        <w:rPr>
          <w:sz w:val="24"/>
          <w:szCs w:val="24"/>
        </w:rPr>
      </w:pPr>
      <w:r>
        <w:rPr>
          <w:sz w:val="24"/>
          <w:szCs w:val="24"/>
        </w:rPr>
        <w:t xml:space="preserve">El Dr. </w:t>
      </w:r>
      <w:proofErr w:type="spellStart"/>
      <w:r>
        <w:rPr>
          <w:sz w:val="24"/>
          <w:szCs w:val="24"/>
        </w:rPr>
        <w:t>Alois</w:t>
      </w:r>
      <w:proofErr w:type="spellEnd"/>
      <w:r>
        <w:rPr>
          <w:sz w:val="24"/>
          <w:szCs w:val="24"/>
        </w:rPr>
        <w:t xml:space="preserve">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sectPr w:rsidR="001D767E" w:rsidRPr="00F61C71"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0791209">
    <w:abstractNumId w:val="2"/>
  </w:num>
  <w:num w:numId="2" w16cid:durableId="395474422">
    <w:abstractNumId w:val="0"/>
  </w:num>
  <w:num w:numId="3" w16cid:durableId="198122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417FA"/>
    <w:rsid w:val="000E1C3E"/>
    <w:rsid w:val="000F2A83"/>
    <w:rsid w:val="001D767E"/>
    <w:rsid w:val="00290F9F"/>
    <w:rsid w:val="002A23CC"/>
    <w:rsid w:val="003326E4"/>
    <w:rsid w:val="003757B3"/>
    <w:rsid w:val="003A7076"/>
    <w:rsid w:val="00513179"/>
    <w:rsid w:val="005218CB"/>
    <w:rsid w:val="00526A8C"/>
    <w:rsid w:val="005D7C3D"/>
    <w:rsid w:val="005E0495"/>
    <w:rsid w:val="00604AF7"/>
    <w:rsid w:val="0062381D"/>
    <w:rsid w:val="006366B3"/>
    <w:rsid w:val="00690436"/>
    <w:rsid w:val="00794ACF"/>
    <w:rsid w:val="007E1B25"/>
    <w:rsid w:val="0098265C"/>
    <w:rsid w:val="00A16D2D"/>
    <w:rsid w:val="00AE6C86"/>
    <w:rsid w:val="00B97A3A"/>
    <w:rsid w:val="00BA18FB"/>
    <w:rsid w:val="00BE655C"/>
    <w:rsid w:val="00BF2A31"/>
    <w:rsid w:val="00C05A9D"/>
    <w:rsid w:val="00C9550B"/>
    <w:rsid w:val="00D16905"/>
    <w:rsid w:val="00E2713A"/>
    <w:rsid w:val="00E65221"/>
    <w:rsid w:val="00E8593B"/>
    <w:rsid w:val="00F61C71"/>
    <w:rsid w:val="00F95444"/>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org/alzheimer-demencia/que-es-la-enfermedad-de-alzheimer" TargetMode="External"/><Relationship Id="rId13" Type="http://schemas.openxmlformats.org/officeDocument/2006/relationships/hyperlink" Target="http://www.alzfae.org" TargetMode="External"/><Relationship Id="rId18" Type="http://schemas.openxmlformats.org/officeDocument/2006/relationships/hyperlink" Target="https://afamur.es/que-es-afamu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lzheimersevilla.com" TargetMode="External"/><Relationship Id="rId7" Type="http://schemas.openxmlformats.org/officeDocument/2006/relationships/hyperlink" Target="https://www.medigraphic.com/newMedi/" TargetMode="External"/><Relationship Id="rId12" Type="http://schemas.openxmlformats.org/officeDocument/2006/relationships/hyperlink" Target="https://www.ceafa.es/es" TargetMode="External"/><Relationship Id="rId17" Type="http://schemas.openxmlformats.org/officeDocument/2006/relationships/hyperlink" Target="http://www.lleidaparticipa.cat/index_web.php?idwc=czoxNToiYWx6aGVpbWVybGxlaWRhIj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fac.cat" TargetMode="External"/><Relationship Id="rId20" Type="http://schemas.openxmlformats.org/officeDocument/2006/relationships/hyperlink" Target="https://www.afacayle.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pmaragall.org/ca/" TargetMode="External"/><Relationship Id="rId24" Type="http://schemas.openxmlformats.org/officeDocument/2006/relationships/hyperlink" Target="https://www.caeme.org.ar/alzheimer-la-historia-de-una-enfermedad-que-desafia-a-la-ciencia/#:~:text=Fue%20descripta%20por%20primera%20vez,a%20principios%20del%20siglo%20XX.&amp;text=En%20la%20enfermedad%20de%20Alzheimer,afectan%20el%20funcionamiento%20del%20cerebro" TargetMode="External"/><Relationship Id="rId5" Type="http://schemas.openxmlformats.org/officeDocument/2006/relationships/image" Target="media/image1.png"/><Relationship Id="rId15" Type="http://schemas.openxmlformats.org/officeDocument/2006/relationships/hyperlink" Target="https://www.fevafa.org/quienes-somos/" TargetMode="External"/><Relationship Id="rId23" Type="http://schemas.openxmlformats.org/officeDocument/2006/relationships/hyperlink" Target="https://www.asociacionalzheimer.com" TargetMode="External"/><Relationship Id="rId10" Type="http://schemas.openxmlformats.org/officeDocument/2006/relationships/hyperlink" Target="https://aiudo.es/asociaciones-de-alzheimer-y-centros/#asociaciones-de-alzheimer" TargetMode="External"/><Relationship Id="rId19" Type="http://schemas.openxmlformats.org/officeDocument/2006/relationships/hyperlink" Target="https://fafal.org" TargetMode="External"/><Relationship Id="rId4" Type="http://schemas.openxmlformats.org/officeDocument/2006/relationships/webSettings" Target="webSettings.xml"/><Relationship Id="rId9" Type="http://schemas.openxmlformats.org/officeDocument/2006/relationships/hyperlink" Target="http://www.alzfae.org/fundacion/549/medicamentos-autorizados" TargetMode="External"/><Relationship Id="rId14" Type="http://schemas.openxmlformats.org/officeDocument/2006/relationships/hyperlink" Target="https://www.afav.org" TargetMode="External"/><Relationship Id="rId22" Type="http://schemas.openxmlformats.org/officeDocument/2006/relationships/hyperlink" Target="https://afaga.com/es/asociacion/historia/"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19</cp:revision>
  <dcterms:created xsi:type="dcterms:W3CDTF">2023-01-14T17:58:00Z</dcterms:created>
  <dcterms:modified xsi:type="dcterms:W3CDTF">2023-01-15T17:10:00Z</dcterms:modified>
</cp:coreProperties>
</file>