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AB188">
      <w:pPr>
        <w:spacing w:after="80"/>
        <w:jc w:val="center"/>
        <w:rPr>
          <w:rFonts w:hint="default" w:ascii="Arial Regular" w:hAnsi="Arial Regular" w:cs="Arial Regular"/>
        </w:rPr>
      </w:pPr>
      <w:r>
        <w:rPr>
          <w:rFonts w:hint="default" w:ascii="Arial Regular" w:hAnsi="Arial Regular" w:eastAsia="Georgia" w:cs="Arial Regular"/>
          <w:b/>
          <w:bCs/>
          <w:color w:val="1A1A1A"/>
          <w:sz w:val="36"/>
          <w:szCs w:val="36"/>
        </w:rPr>
        <w:t>Legal and Ethical Analysis Report</w:t>
      </w:r>
    </w:p>
    <w:p w14:paraId="6B3DC10F">
      <w:pPr>
        <w:spacing w:after="40"/>
        <w:jc w:val="center"/>
        <w:rPr>
          <w:rFonts w:hint="default" w:ascii="Arial Regular" w:hAnsi="Arial Regular" w:cs="Arial Regular"/>
        </w:rPr>
      </w:pPr>
      <w:r>
        <w:rPr>
          <w:rFonts w:hint="default" w:ascii="Arial Regular" w:hAnsi="Arial Regular" w:eastAsia="Georgia" w:cs="Arial Regular"/>
          <w:color w:val="666666"/>
          <w:sz w:val="24"/>
          <w:szCs w:val="24"/>
        </w:rPr>
        <w:t>CSL Behring Knowledge Graph Project</w:t>
      </w:r>
    </w:p>
    <w:p w14:paraId="2793FFE8">
      <w:pPr>
        <w:spacing w:after="400"/>
        <w:jc w:val="center"/>
        <w:rPr>
          <w:rFonts w:hint="default" w:ascii="Arial Regular" w:hAnsi="Arial Regular" w:cs="Arial Regular"/>
        </w:rPr>
      </w:pPr>
      <w:r>
        <w:rPr>
          <w:rFonts w:hint="default" w:ascii="Arial Regular" w:hAnsi="Arial Regular" w:eastAsia="Calibri" w:cs="Arial Regular"/>
          <w:color w:val="999999"/>
          <w:sz w:val="22"/>
          <w:szCs w:val="22"/>
        </w:rPr>
        <w:t>Cornell Tech BigCo Studio, Team 10</w:t>
      </w:r>
    </w:p>
    <w:p w14:paraId="64D11BB7">
      <w:pPr>
        <w:pStyle w:val="2"/>
        <w:spacing w:before="400" w:after="200"/>
        <w:rPr>
          <w:rFonts w:hint="default" w:ascii="Arial Regular" w:hAnsi="Arial Regular" w:cs="Arial Regular"/>
        </w:rPr>
      </w:pPr>
      <w:r>
        <w:rPr>
          <w:rFonts w:hint="default" w:ascii="Arial Regular" w:hAnsi="Arial Regular" w:eastAsia="Georgia" w:cs="Arial Regular"/>
          <w:b/>
          <w:bCs/>
          <w:color w:val="1A1A1A"/>
          <w:sz w:val="28"/>
          <w:szCs w:val="28"/>
        </w:rPr>
        <w:t>1. Introduction</w:t>
      </w:r>
    </w:p>
    <w:p w14:paraId="4A736DB2">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This report examines the legal and ethical considerations arising from the design and development of an AI-powered knowledge graph for CSL Behring. The project uses public data sources and large language models to extract and map relationships among approximately 37,000 organizations relevant to CSL’s competitive intelligence and drug development pipeline.</w:t>
      </w:r>
    </w:p>
    <w:p w14:paraId="1C265596">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The analysis is organized around three areas. First, the lawfulness of our data collection and use, including compliance with data provider terms, copyright, and third-party API policies. Second, the accuracy of AI-generated outputs, with a focus on confidence scoring as a mechanism to manage error risk. Third, the intellectual property considerations that would arise if CSL were to productize the knowledge graph internally.</w:t>
      </w:r>
    </w:p>
    <w:p w14:paraId="15CA3E85">
      <w:pPr>
        <w:pStyle w:val="2"/>
        <w:spacing w:before="400" w:after="200"/>
        <w:rPr>
          <w:rFonts w:hint="default" w:ascii="Arial Regular" w:hAnsi="Arial Regular" w:cs="Arial Regular"/>
        </w:rPr>
      </w:pPr>
      <w:r>
        <w:rPr>
          <w:rFonts w:hint="default" w:ascii="Arial Regular" w:hAnsi="Arial Regular" w:eastAsia="Georgia" w:cs="Arial Regular"/>
          <w:b/>
          <w:bCs/>
          <w:color w:val="1A1A1A"/>
          <w:sz w:val="28"/>
          <w:szCs w:val="28"/>
        </w:rPr>
        <w:t>2. Data Collection and Use</w:t>
      </w:r>
    </w:p>
    <w:p w14:paraId="3AAEE449">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Our pipeline draws from four categories of input: United States Patent and Trademark Office (USPTO) patent filings, Securities and Exchange Commission (SEC) filings accessed through EDGAR, PubMed article abstracts accessed through NCBI E-utilities, and a list of approximately 37,000 organization names provided directly by CSL Behring. Each source raises distinct legal questions around copyright status, terms of use compliance, and authorized scope of use.</w:t>
      </w:r>
    </w:p>
    <w:p w14:paraId="2B70999B">
      <w:pPr>
        <w:pStyle w:val="3"/>
        <w:spacing w:before="300" w:after="150"/>
        <w:rPr>
          <w:rFonts w:hint="default" w:ascii="Arial Regular" w:hAnsi="Arial Regular" w:cs="Arial Regular"/>
        </w:rPr>
      </w:pPr>
      <w:r>
        <w:rPr>
          <w:rFonts w:hint="default" w:ascii="Arial Regular" w:hAnsi="Arial Regular" w:eastAsia="Georgia" w:cs="Arial Regular"/>
          <w:b/>
          <w:bCs/>
          <w:color w:val="1A1A1A"/>
          <w:sz w:val="24"/>
          <w:szCs w:val="24"/>
        </w:rPr>
        <w:t>2.1 Public Availability and Lawful Collection</w:t>
      </w:r>
    </w:p>
    <w:p w14:paraId="10543548">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 xml:space="preserve">A threshold distinction in this analysis is that publicly available data is not necessarily data we are free to collect and use without restriction. Public availability addresses who can </w:t>
      </w:r>
      <w:r>
        <w:rPr>
          <w:rFonts w:hint="default" w:ascii="Arial Regular" w:hAnsi="Arial Regular" w:eastAsia="Calibri" w:cs="Arial Regular"/>
          <w:i/>
          <w:iCs/>
          <w:color w:val="333333"/>
          <w:sz w:val="22"/>
          <w:szCs w:val="22"/>
        </w:rPr>
        <w:t>access</w:t>
      </w:r>
      <w:r>
        <w:rPr>
          <w:rFonts w:hint="default" w:ascii="Arial Regular" w:hAnsi="Arial Regular" w:eastAsia="Calibri" w:cs="Arial Regular"/>
          <w:color w:val="333333"/>
          <w:sz w:val="22"/>
          <w:szCs w:val="22"/>
        </w:rPr>
        <w:t xml:space="preserve"> the data. Lawful collection addresses whether our </w:t>
      </w:r>
      <w:r>
        <w:rPr>
          <w:rFonts w:hint="default" w:ascii="Arial Regular" w:hAnsi="Arial Regular" w:eastAsia="Calibri" w:cs="Arial Regular"/>
          <w:i/>
          <w:iCs/>
          <w:color w:val="333333"/>
          <w:sz w:val="22"/>
          <w:szCs w:val="22"/>
        </w:rPr>
        <w:t>method</w:t>
      </w:r>
      <w:r>
        <w:rPr>
          <w:rFonts w:hint="default" w:ascii="Arial Regular" w:hAnsi="Arial Regular" w:eastAsia="Calibri" w:cs="Arial Regular"/>
          <w:color w:val="333333"/>
          <w:sz w:val="22"/>
          <w:szCs w:val="22"/>
        </w:rPr>
        <w:t xml:space="preserve"> of access and our intended use comply with the legal terms governing that data. These are separate questions.</w:t>
      </w:r>
    </w:p>
    <w:p w14:paraId="0940FEA9">
      <w:pPr>
        <w:pStyle w:val="4"/>
        <w:spacing w:before="240" w:after="120"/>
        <w:rPr>
          <w:rFonts w:hint="default" w:ascii="Arial Regular" w:hAnsi="Arial Regular" w:cs="Arial Regular"/>
        </w:rPr>
      </w:pPr>
      <w:r>
        <w:rPr>
          <w:rFonts w:hint="default" w:ascii="Arial Regular" w:hAnsi="Arial Regular" w:eastAsia="Calibri" w:cs="Arial Regular"/>
          <w:b/>
          <w:bCs/>
          <w:color w:val="333333"/>
          <w:sz w:val="22"/>
          <w:szCs w:val="22"/>
        </w:rPr>
        <w:t>Copyright Status of Source Materials</w:t>
      </w:r>
    </w:p>
    <w:p w14:paraId="48E08DD5">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Works produced by the United States federal government are not subject to copyright protection under 17 U.S.C. § 105.</w:t>
      </w:r>
      <w:r>
        <w:rPr>
          <w:rStyle w:val="15"/>
          <w:rFonts w:hint="default" w:ascii="Arial Regular" w:hAnsi="Arial Regular" w:cs="Arial Regular"/>
        </w:rPr>
        <w:footnoteReference w:id="0"/>
      </w:r>
      <w:r>
        <w:rPr>
          <w:rFonts w:hint="default" w:ascii="Arial Regular" w:hAnsi="Arial Regular" w:eastAsia="Calibri" w:cs="Arial Regular"/>
          <w:color w:val="333333"/>
          <w:sz w:val="22"/>
          <w:szCs w:val="22"/>
        </w:rPr>
        <w:t xml:space="preserve"> Both USPTO patent filings and SEC filings fall within this category. The text of patents, patent applications, and corporate filings on EDGAR are government works and may be freely reproduced, analyzed, and redistributed without copyright concern.</w:t>
      </w:r>
    </w:p>
    <w:p w14:paraId="7B1DBB47">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PubMed presents a more nuanced picture. The National Library of Medicine does not claim copyright over the abstracts in the PubMed database.</w:t>
      </w:r>
      <w:r>
        <w:rPr>
          <w:rStyle w:val="15"/>
          <w:rFonts w:hint="default" w:ascii="Arial Regular" w:hAnsi="Arial Regular" w:cs="Arial Regular"/>
        </w:rPr>
        <w:footnoteReference w:id="1"/>
      </w:r>
      <w:r>
        <w:rPr>
          <w:rFonts w:hint="default" w:ascii="Arial Regular" w:hAnsi="Arial Regular" w:eastAsia="Calibri" w:cs="Arial Regular"/>
          <w:color w:val="333333"/>
          <w:sz w:val="22"/>
          <w:szCs w:val="22"/>
        </w:rPr>
        <w:t xml:space="preserve"> NLM’s own documentation states that publishers have granted NLM permission to host abstracts for which those publishers may hold copyright, but NLM itself does not hold copyright on the abstracts.</w:t>
      </w:r>
      <w:r>
        <w:rPr>
          <w:rStyle w:val="15"/>
          <w:rFonts w:hint="default" w:ascii="Arial Regular" w:hAnsi="Arial Regular" w:cs="Arial Regular"/>
        </w:rPr>
        <w:footnoteReference w:id="2"/>
      </w:r>
      <w:r>
        <w:rPr>
          <w:rFonts w:hint="default" w:ascii="Arial Regular" w:hAnsi="Arial Regular" w:eastAsia="Calibri" w:cs="Arial Regular"/>
          <w:color w:val="333333"/>
          <w:sz w:val="22"/>
          <w:szCs w:val="22"/>
        </w:rPr>
        <w:t xml:space="preserve"> Our pipeline accesses only these bibliographic elements: titles, author lists, journal citations, and abstracts. The full text of journal articles is typically owned by the publisher and protected by copyright. We do not access, store, or process full-text articles at any stage of our pipeline.</w:t>
      </w:r>
    </w:p>
    <w:p w14:paraId="20DF8C57">
      <w:pPr>
        <w:pStyle w:val="4"/>
        <w:spacing w:before="240" w:after="120"/>
        <w:rPr>
          <w:rFonts w:hint="default" w:ascii="Arial Regular" w:hAnsi="Arial Regular" w:cs="Arial Regular"/>
        </w:rPr>
      </w:pPr>
      <w:r>
        <w:rPr>
          <w:rFonts w:hint="default" w:ascii="Arial Regular" w:hAnsi="Arial Regular" w:eastAsia="Calibri" w:cs="Arial Regular"/>
          <w:b/>
          <w:bCs/>
          <w:color w:val="333333"/>
          <w:sz w:val="22"/>
          <w:szCs w:val="22"/>
        </w:rPr>
        <w:t>Terms of Use Compliance</w:t>
      </w:r>
    </w:p>
    <w:p w14:paraId="36A85B30">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Even where copyright is not a barrier, each data provider imposes terms governing how its data may be accessed. Compliance with these terms is an independent legal obligation.</w:t>
      </w:r>
    </w:p>
    <w:p w14:paraId="700D4E1A">
      <w:pPr>
        <w:spacing w:after="160" w:line="320" w:lineRule="auto"/>
        <w:rPr>
          <w:rFonts w:hint="default" w:ascii="Arial Regular" w:hAnsi="Arial Regular" w:cs="Arial Regular"/>
        </w:rPr>
      </w:pPr>
      <w:r>
        <w:rPr>
          <w:rFonts w:hint="default" w:ascii="Arial Regular" w:hAnsi="Arial Regular" w:eastAsia="Calibri" w:cs="Arial Regular"/>
          <w:b/>
          <w:bCs/>
          <w:color w:val="333333"/>
          <w:sz w:val="22"/>
          <w:szCs w:val="22"/>
        </w:rPr>
        <w:t>USPTO.</w:t>
      </w:r>
      <w:r>
        <w:rPr>
          <w:rFonts w:hint="default" w:ascii="Arial Regular" w:hAnsi="Arial Regular" w:eastAsia="Calibri" w:cs="Arial Regular"/>
          <w:color w:val="333333"/>
          <w:sz w:val="22"/>
          <w:szCs w:val="22"/>
        </w:rPr>
        <w:t xml:space="preserve"> The USPTO’s Open Data Portal and PatentsView API are subject to terms of use that require adherence to rate limits on API requests and appropriate attribution of data sourced from USPTO systems. Our pipeline operates within published rate limits and identifies USPTO as the data source in all outputs.</w:t>
      </w:r>
    </w:p>
    <w:p w14:paraId="2E578935">
      <w:pPr>
        <w:spacing w:after="160" w:line="320" w:lineRule="auto"/>
        <w:rPr>
          <w:rFonts w:hint="default" w:ascii="Arial Regular" w:hAnsi="Arial Regular" w:cs="Arial Regular"/>
        </w:rPr>
      </w:pPr>
      <w:r>
        <w:rPr>
          <w:rFonts w:hint="default" w:ascii="Arial Regular" w:hAnsi="Arial Regular" w:eastAsia="Calibri" w:cs="Arial Regular"/>
          <w:b/>
          <w:bCs/>
          <w:color w:val="333333"/>
          <w:sz w:val="22"/>
          <w:szCs w:val="22"/>
        </w:rPr>
        <w:t>SEC EDGAR.</w:t>
      </w:r>
      <w:r>
        <w:rPr>
          <w:rFonts w:hint="default" w:ascii="Arial Regular" w:hAnsi="Arial Regular" w:eastAsia="Calibri" w:cs="Arial Regular"/>
          <w:color w:val="333333"/>
          <w:sz w:val="22"/>
          <w:szCs w:val="22"/>
        </w:rPr>
        <w:t xml:space="preserve"> The SEC’s EDGAR system is governed by a fair access policy that requires users to declare a user-agent header identifying the requester and restricts automated requests to no more than 10 per second.</w:t>
      </w:r>
      <w:r>
        <w:rPr>
          <w:rStyle w:val="15"/>
          <w:rFonts w:hint="default" w:ascii="Arial Regular" w:hAnsi="Arial Regular" w:cs="Arial Regular"/>
        </w:rPr>
        <w:footnoteReference w:id="3"/>
      </w:r>
      <w:r>
        <w:rPr>
          <w:rStyle w:val="15"/>
          <w:rFonts w:hint="default" w:ascii="Arial Regular" w:hAnsi="Arial Regular" w:cs="Arial Regular"/>
        </w:rPr>
        <w:footnoteReference w:id="4"/>
      </w:r>
      <w:r>
        <w:rPr>
          <w:rFonts w:hint="default" w:ascii="Arial Regular" w:hAnsi="Arial Regular" w:eastAsia="Calibri" w:cs="Arial Regular"/>
          <w:color w:val="333333"/>
          <w:sz w:val="22"/>
          <w:szCs w:val="22"/>
        </w:rPr>
        <w:t xml:space="preserve"> The SEC reserves the right to throttle or block access that places undue burden on the system. Our pipeline includes the required identification headers and limits request frequency to comply with these guidelines.</w:t>
      </w:r>
    </w:p>
    <w:p w14:paraId="7CF6210B">
      <w:pPr>
        <w:spacing w:after="160" w:line="320" w:lineRule="auto"/>
        <w:rPr>
          <w:rFonts w:hint="default" w:ascii="Arial Regular" w:hAnsi="Arial Regular" w:cs="Arial Regular"/>
        </w:rPr>
      </w:pPr>
      <w:r>
        <w:rPr>
          <w:rFonts w:hint="default" w:ascii="Arial Regular" w:hAnsi="Arial Regular" w:eastAsia="Calibri" w:cs="Arial Regular"/>
          <w:b/>
          <w:bCs/>
          <w:color w:val="333333"/>
          <w:sz w:val="22"/>
          <w:szCs w:val="22"/>
        </w:rPr>
        <w:t>PubMed E-utilities.</w:t>
      </w:r>
      <w:r>
        <w:rPr>
          <w:rFonts w:hint="default" w:ascii="Arial Regular" w:hAnsi="Arial Regular" w:eastAsia="Calibri" w:cs="Arial Regular"/>
          <w:color w:val="333333"/>
          <w:sz w:val="22"/>
          <w:szCs w:val="22"/>
        </w:rPr>
        <w:t xml:space="preserve"> NCBI’s E-utilities API requires users to provide a contact email address, limits requests to three per second without an API key (ten per second with a registered key), and prohibits large-scale downloading during peak hours.</w:t>
      </w:r>
      <w:r>
        <w:rPr>
          <w:rStyle w:val="15"/>
          <w:rFonts w:hint="default" w:ascii="Arial Regular" w:hAnsi="Arial Regular" w:cs="Arial Regular"/>
        </w:rPr>
        <w:footnoteReference w:id="5"/>
      </w:r>
      <w:r>
        <w:rPr>
          <w:rFonts w:hint="default" w:ascii="Arial Regular" w:hAnsi="Arial Regular" w:eastAsia="Calibri" w:cs="Arial Regular"/>
          <w:color w:val="333333"/>
          <w:sz w:val="22"/>
          <w:szCs w:val="22"/>
        </w:rPr>
        <w:t xml:space="preserve"> Our pipeline registers an API key and operates within these parameters.</w:t>
      </w:r>
    </w:p>
    <w:p w14:paraId="0A65E4B7">
      <w:pPr>
        <w:pStyle w:val="3"/>
        <w:spacing w:before="300" w:after="150"/>
        <w:rPr>
          <w:rFonts w:hint="default" w:ascii="Arial Regular" w:hAnsi="Arial Regular" w:cs="Arial Regular"/>
        </w:rPr>
      </w:pPr>
      <w:r>
        <w:rPr>
          <w:rFonts w:hint="default" w:ascii="Arial Regular" w:hAnsi="Arial Regular" w:eastAsia="Georgia" w:cs="Arial Regular"/>
          <w:b/>
          <w:bCs/>
          <w:color w:val="1A1A1A"/>
          <w:sz w:val="24"/>
          <w:szCs w:val="24"/>
        </w:rPr>
        <w:t>2.2 CSL Organization List</w:t>
      </w:r>
    </w:p>
    <w:p w14:paraId="5C4824BC">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CSL Behring provided a list of approximately 37,000 organization names for use in this project. Unlike the public data sources described above, this list is proprietary to CSL. Two questions arise: whether the list may be included in prompts sent to external LLM APIs, and whether it may be published in the project’s GitHub repository.</w:t>
      </w:r>
    </w:p>
    <w:p w14:paraId="1FDEA9CB">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Both questions were raised directly with CSL’s project lead, Sterling Foster. In email correspondence dated March 2026, Sterling confirmed that the organization names may be included in LLM prompts sent to external APIs. Separately, CSL confirmed that the list does not contain commercial-sensitive information and may be included in the public GitHub repository. On this basis, no restriction applies to the use of the organization list within our pipeline or in project deliverables.</w:t>
      </w:r>
    </w:p>
    <w:p w14:paraId="5CB77084">
      <w:pPr>
        <w:pStyle w:val="3"/>
        <w:spacing w:before="300" w:after="150"/>
        <w:rPr>
          <w:rFonts w:hint="default" w:ascii="Arial Regular" w:hAnsi="Arial Regular" w:cs="Arial Regular"/>
        </w:rPr>
      </w:pPr>
      <w:r>
        <w:rPr>
          <w:rFonts w:hint="default" w:ascii="Arial Regular" w:hAnsi="Arial Regular" w:eastAsia="Georgia" w:cs="Arial Regular"/>
          <w:b/>
          <w:bCs/>
          <w:color w:val="1A1A1A"/>
          <w:sz w:val="24"/>
          <w:szCs w:val="24"/>
        </w:rPr>
        <w:t>2.3 External LLM API Usage</w:t>
      </w:r>
    </w:p>
    <w:p w14:paraId="4E1CF456">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Our pipeline sends data to the APIs of two LLM providers, OpenAI and Anthropic, for entity extraction and cross-validation. This means that patent text, SEC filing excerpts, PubMed abstracts, and CSL organization names leave our local computing environment and are processed on third-party servers.</w:t>
      </w:r>
    </w:p>
    <w:p w14:paraId="7E66F4F2">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CSL authorized the use of external LLM APIs for this project. Sterling Foster confirmed this authorization in the same March 2026 correspondence referenced above.</w:t>
      </w:r>
    </w:p>
    <w:p w14:paraId="74D3AF69">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From a data governance perspective, the key question is whether the API providers retain or use submitted data for purposes beyond fulfilling the API request. Under their current terms, OpenAI states that data submitted through the API is not used to train their models.</w:t>
      </w:r>
      <w:r>
        <w:rPr>
          <w:rStyle w:val="15"/>
          <w:rFonts w:hint="default" w:ascii="Arial Regular" w:hAnsi="Arial Regular" w:cs="Arial Regular"/>
        </w:rPr>
        <w:footnoteReference w:id="6"/>
      </w:r>
      <w:r>
        <w:rPr>
          <w:rFonts w:hint="default" w:ascii="Arial Regular" w:hAnsi="Arial Regular" w:eastAsia="Calibri" w:cs="Arial Regular"/>
          <w:color w:val="333333"/>
          <w:sz w:val="22"/>
          <w:szCs w:val="22"/>
        </w:rPr>
        <w:t xml:space="preserve"> Anthropic’s commercial terms contain the same commitment.</w:t>
      </w:r>
      <w:r>
        <w:rPr>
          <w:rStyle w:val="15"/>
          <w:rFonts w:hint="default" w:ascii="Arial Regular" w:hAnsi="Arial Regular" w:cs="Arial Regular"/>
        </w:rPr>
        <w:footnoteReference w:id="7"/>
      </w:r>
      <w:r>
        <w:rPr>
          <w:rFonts w:hint="default" w:ascii="Arial Regular" w:hAnsi="Arial Regular" w:eastAsia="Calibri" w:cs="Arial Regular"/>
          <w:color w:val="333333"/>
          <w:sz w:val="22"/>
          <w:szCs w:val="22"/>
        </w:rPr>
        <w:t xml:space="preserve"> Both providers retain submitted data for a limited period for abuse monitoring and safety purposes. Given that the data we submit consists of publicly available government documents and a CSL-authorized organization list, the residual risk from this temporary retention is low.</w:t>
      </w:r>
    </w:p>
    <w:p w14:paraId="45A82D8F">
      <w:pPr>
        <w:pStyle w:val="2"/>
        <w:spacing w:before="400" w:after="200"/>
        <w:rPr>
          <w:rFonts w:hint="default" w:ascii="Arial Regular" w:hAnsi="Arial Regular" w:cs="Arial Regular"/>
        </w:rPr>
      </w:pPr>
      <w:r>
        <w:rPr>
          <w:rFonts w:hint="default" w:ascii="Arial Regular" w:hAnsi="Arial Regular" w:eastAsia="Georgia" w:cs="Arial Regular"/>
          <w:b/>
          <w:bCs/>
          <w:color w:val="1A1A1A"/>
          <w:sz w:val="28"/>
          <w:szCs w:val="28"/>
        </w:rPr>
        <w:t>3. Accuracy and Confidence Scoring</w:t>
      </w:r>
    </w:p>
    <w:p w14:paraId="56EC2569">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Because the knowledge graph is intended to inform competitive intelligence and business decisions, the accuracy of its outputs is not merely a technical concern. Inaccurate relationships, whether fabricated by the model or produced by flawed entity matching, could lead to flawed strategic choices. This section addresses the two principal accuracy risks in our pipeline and the confidence scoring mechanism designed to manage them.</w:t>
      </w:r>
    </w:p>
    <w:p w14:paraId="104E908D">
      <w:pPr>
        <w:pStyle w:val="3"/>
        <w:spacing w:before="300" w:after="150"/>
        <w:rPr>
          <w:rFonts w:hint="default" w:ascii="Arial Regular" w:hAnsi="Arial Regular" w:cs="Arial Regular"/>
        </w:rPr>
      </w:pPr>
      <w:r>
        <w:rPr>
          <w:rFonts w:hint="default" w:ascii="Arial Regular" w:hAnsi="Arial Regular" w:eastAsia="Georgia" w:cs="Arial Regular"/>
          <w:b/>
          <w:bCs/>
          <w:color w:val="1A1A1A"/>
          <w:sz w:val="24"/>
          <w:szCs w:val="24"/>
        </w:rPr>
        <w:t>3.1 Two Key Accuracy Risks</w:t>
      </w:r>
    </w:p>
    <w:p w14:paraId="25C26E49">
      <w:pPr>
        <w:spacing w:after="160" w:line="320" w:lineRule="auto"/>
        <w:rPr>
          <w:rFonts w:hint="default" w:ascii="Arial Regular" w:hAnsi="Arial Regular" w:cs="Arial Regular"/>
        </w:rPr>
      </w:pPr>
      <w:r>
        <w:rPr>
          <w:rFonts w:hint="default" w:ascii="Arial Regular" w:hAnsi="Arial Regular" w:eastAsia="Calibri" w:cs="Arial Regular"/>
          <w:b/>
          <w:bCs/>
          <w:color w:val="333333"/>
          <w:sz w:val="22"/>
          <w:szCs w:val="22"/>
        </w:rPr>
        <w:t>Hallucination.</w:t>
      </w:r>
      <w:r>
        <w:rPr>
          <w:rFonts w:hint="default" w:ascii="Arial Regular" w:hAnsi="Arial Regular" w:eastAsia="Calibri" w:cs="Arial Regular"/>
          <w:color w:val="333333"/>
          <w:sz w:val="22"/>
          <w:szCs w:val="22"/>
        </w:rPr>
        <w:t xml:space="preserve"> Large language models can generate outputs that are fluent and confident but factually unsupported. In the context of relationship extraction, this means the model may assert that a partnership, acquisition, or co-filing exists when no source document supports that claim. Our pipeline uses multi-LLM cross-validation, where two models independently extract and verify relationships, to reduce this risk. However, cross-validation does not eliminate it. Both models can agree on the same incorrect output, producing a high confidence score for a fabricated relationship.</w:t>
      </w:r>
    </w:p>
    <w:p w14:paraId="06EC73C7">
      <w:pPr>
        <w:pStyle w:val="3"/>
        <w:spacing w:before="300" w:after="150"/>
        <w:rPr>
          <w:rFonts w:hint="default" w:ascii="Arial Regular" w:hAnsi="Arial Regular" w:cs="Arial Regular"/>
        </w:rPr>
      </w:pPr>
      <w:r>
        <w:rPr>
          <w:rFonts w:hint="default" w:ascii="Arial Regular" w:hAnsi="Arial Regular" w:eastAsia="Georgia" w:cs="Arial Regular"/>
          <w:b/>
          <w:bCs/>
          <w:color w:val="1A1A1A"/>
          <w:sz w:val="24"/>
          <w:szCs w:val="24"/>
        </w:rPr>
        <w:t>3.2 Confidence Score as a Safeguard</w:t>
      </w:r>
    </w:p>
    <w:p w14:paraId="01450CDD">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 xml:space="preserve">Each relationship extracted by the pipeline is assigned a confidence score between 0 and 1. </w:t>
      </w:r>
      <w:bookmarkStart w:id="0" w:name="_GoBack"/>
      <w:r>
        <w:rPr>
          <w:rFonts w:hint="default" w:ascii="Arial Regular" w:hAnsi="Arial Regular" w:eastAsia="Calibri" w:cs="Arial Regular"/>
          <w:color w:val="333333"/>
          <w:sz w:val="22"/>
          <w:szCs w:val="22"/>
          <w:highlight w:val="none"/>
        </w:rPr>
        <w:t xml:space="preserve">The score reflects four factors: </w:t>
      </w:r>
      <w:bookmarkEnd w:id="0"/>
      <w:r>
        <w:rPr>
          <w:rFonts w:hint="default" w:ascii="Arial Regular" w:hAnsi="Arial Regular" w:eastAsia="Calibri" w:cs="Arial Regular"/>
          <w:color w:val="333333"/>
          <w:sz w:val="22"/>
          <w:szCs w:val="22"/>
        </w:rPr>
        <w:t>the number of independent sources that corroborate the relationship, the degree of agreement between the two LLMs, the authority level of the source (a patent filing carries more weight than a news snippet), and the recency of the source.</w:t>
      </w:r>
    </w:p>
    <w:p w14:paraId="744E3622">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The score is used to route outputs into tiers. Relationships scoring above a defined threshold are accepted into the graph. Those falling below the threshold are flagged for human review. Those falling below a lower threshold are rejected outright.</w:t>
      </w:r>
    </w:p>
    <w:p w14:paraId="22577548">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The critical question is where to set these thresholds. This is not a decision that can be made in the abstract. The appropriate threshold depends on the error rate that CSL is willing to tolerate, which will vary depending on the use case and the type of relationship involved. A false merge in an M&amp;A relationship, for example, carries greater consequences than a missed match in a co-patent filing.</w:t>
      </w:r>
    </w:p>
    <w:p w14:paraId="1A7066DB">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The thresholds should be calibrated empirically. Using a labeled validation set of known company relationships, the system can be tested at different threshold levels to measure the resulting false merge rate and missed match rate at each level. CSL can then select the threshold that brings the error rate within its acceptable range. CSL has already indicated a preference for avoiding false merges when confidence is low, which means the system should be tuned to favor precision over recall.</w:t>
      </w:r>
    </w:p>
    <w:p w14:paraId="7F6E5491">
      <w:pPr>
        <w:spacing w:after="160" w:line="320" w:lineRule="auto"/>
        <w:rPr>
          <w:rFonts w:hint="default" w:ascii="Arial Regular" w:hAnsi="Arial Regular" w:eastAsia="Calibri" w:cs="Arial Regular"/>
          <w:color w:val="333333"/>
          <w:sz w:val="22"/>
          <w:szCs w:val="22"/>
        </w:rPr>
      </w:pPr>
      <w:r>
        <w:rPr>
          <w:rFonts w:hint="default" w:ascii="Arial Regular" w:hAnsi="Arial Regular" w:eastAsia="Calibri" w:cs="Arial Regular"/>
          <w:color w:val="333333"/>
          <w:sz w:val="22"/>
          <w:szCs w:val="22"/>
        </w:rPr>
        <w:t>We recommend that CSL define its acceptable error tolerance before deployment, calibrate the thresholds against labeled data accordingly, and revisit the thresholds periodically as more human review decisions accumulate and provide additional ground truth for recalibration.</w:t>
      </w:r>
    </w:p>
    <w:p w14:paraId="018DB963">
      <w:pPr>
        <w:spacing w:after="160" w:line="320" w:lineRule="auto"/>
        <w:rPr>
          <w:rFonts w:hint="default" w:ascii="Arial Regular" w:hAnsi="Arial Regular" w:eastAsia="Calibri" w:cs="Arial Regular"/>
          <w:color w:val="333333"/>
          <w:sz w:val="22"/>
          <w:szCs w:val="22"/>
        </w:rPr>
      </w:pPr>
    </w:p>
    <w:p w14:paraId="1C7214DD">
      <w:pPr>
        <w:pStyle w:val="3"/>
        <w:spacing w:before="300" w:after="150"/>
        <w:rPr>
          <w:rFonts w:hint="default" w:ascii="Arial Regular" w:hAnsi="Arial Regular" w:cs="Arial Regular"/>
        </w:rPr>
      </w:pPr>
      <w:r>
        <w:rPr>
          <w:rFonts w:hint="default" w:ascii="Arial Regular" w:hAnsi="Arial Regular" w:eastAsia="Georgia" w:cs="Arial Regular"/>
          <w:b/>
          <w:bCs/>
          <w:color w:val="1A1A1A"/>
          <w:sz w:val="24"/>
          <w:szCs w:val="24"/>
        </w:rPr>
        <w:t>3.3 Human Review</w:t>
      </w:r>
    </w:p>
    <w:p w14:paraId="7297B181">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Confidence scoring alone cannot guarantee accuracy. The human review layer serves two functions. First, it catches errors that the automated system cannot: relationships that score below the acceptance threshold are routed to a review queue where a subject matter expert can confirm or reject them. Second, it provides a mechanism to detect systematic errors in high-confidence outputs. By randomly sampling a portion of auto-accepted results for manual review, CSL can estimate the system’s real-world precision and identify patterns of failure that the confidence score does not capture.</w:t>
      </w:r>
    </w:p>
    <w:p w14:paraId="76F24424">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Reviewer decisions feed back into the system. Confirmed or rejected relationships become new ground truth data, which can be used to recalibrate confidence thresholds and improve extraction quality over time.</w:t>
      </w:r>
    </w:p>
    <w:p w14:paraId="43C0261A">
      <w:pPr>
        <w:pStyle w:val="2"/>
        <w:spacing w:before="400" w:after="200"/>
        <w:rPr>
          <w:rFonts w:hint="default" w:ascii="Arial Regular" w:hAnsi="Arial Regular" w:cs="Arial Regular"/>
        </w:rPr>
      </w:pPr>
      <w:r>
        <w:rPr>
          <w:rFonts w:hint="default" w:ascii="Arial Regular" w:hAnsi="Arial Regular" w:eastAsia="Georgia" w:cs="Arial Regular"/>
          <w:b/>
          <w:bCs/>
          <w:color w:val="1A1A1A"/>
          <w:sz w:val="28"/>
          <w:szCs w:val="28"/>
        </w:rPr>
        <w:t>4. Knowledge Graph as Product: IP Protection for CSL</w:t>
      </w:r>
    </w:p>
    <w:p w14:paraId="2DAFEC22">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If CSL develops and maintains a knowledge graph internally using the approach described in this project, the resulting graph would contain competitively valuable intelligence: which organizations CSL is monitoring, which relationships it considers strategically relevant, and which therapeutic areas it prioritizes. This section considers how such a graph might be protected under U.S. intellectual property law.</w:t>
      </w:r>
    </w:p>
    <w:p w14:paraId="6964B3F9">
      <w:pPr>
        <w:pStyle w:val="3"/>
        <w:spacing w:before="300" w:after="150"/>
        <w:rPr>
          <w:rFonts w:hint="default" w:ascii="Arial Regular" w:hAnsi="Arial Regular" w:cs="Arial Regular"/>
        </w:rPr>
      </w:pPr>
      <w:r>
        <w:rPr>
          <w:rFonts w:hint="default" w:ascii="Arial Regular" w:hAnsi="Arial Regular" w:eastAsia="Georgia" w:cs="Arial Regular"/>
          <w:b/>
          <w:bCs/>
          <w:color w:val="1A1A1A"/>
          <w:sz w:val="24"/>
          <w:szCs w:val="24"/>
        </w:rPr>
        <w:t>4.1 Copyright: Limited Protection for Factual Compilations</w:t>
      </w:r>
    </w:p>
    <w:p w14:paraId="74DE406E">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 xml:space="preserve">A knowledge graph is, at its core, a structured compilation of facts: company names, patent filings, corporate transactions, and the relationships among them. Under U.S. copyright law, facts themselves are not copyrightable. In </w:t>
      </w:r>
      <w:r>
        <w:rPr>
          <w:rFonts w:hint="default" w:ascii="Arial Regular" w:hAnsi="Arial Regular" w:eastAsia="Calibri" w:cs="Arial Regular"/>
          <w:i/>
          <w:iCs/>
          <w:color w:val="333333"/>
          <w:sz w:val="22"/>
          <w:szCs w:val="22"/>
        </w:rPr>
        <w:t>Feist Publications, Inc. v. Rural Telephone Service Co.</w:t>
      </w:r>
      <w:r>
        <w:rPr>
          <w:rFonts w:hint="default" w:ascii="Arial Regular" w:hAnsi="Arial Regular" w:eastAsia="Calibri" w:cs="Arial Regular"/>
          <w:color w:val="333333"/>
          <w:sz w:val="22"/>
          <w:szCs w:val="22"/>
        </w:rPr>
        <w:t>, the Supreme Court held that copyright protection does not extend to facts, and that a factual compilation qualifies for protection only to the extent that its selection, coordination, or arrangement of facts reflects original expression.</w:t>
      </w:r>
      <w:r>
        <w:rPr>
          <w:rStyle w:val="15"/>
          <w:rFonts w:hint="default" w:ascii="Arial Regular" w:hAnsi="Arial Regular" w:cs="Arial Regular"/>
        </w:rPr>
        <w:footnoteReference w:id="8"/>
      </w:r>
      <w:r>
        <w:rPr>
          <w:rFonts w:hint="default" w:ascii="Arial Regular" w:hAnsi="Arial Regular" w:eastAsia="Calibri" w:cs="Arial Regular"/>
          <w:color w:val="333333"/>
          <w:sz w:val="22"/>
          <w:szCs w:val="22"/>
        </w:rPr>
        <w:t xml:space="preserve"> Even where such originality exists, the resulting protection is “thin”: it covers the particular way the compiler chose to select and arrange the facts, but not the facts themselves.</w:t>
      </w:r>
    </w:p>
    <w:p w14:paraId="2DF1E75A">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For a knowledge graph built from public patent and SEC data, this has a practical consequence. The competitive value of the graph lies almost entirely in the factual content it contains: which companies are connected, through what types of relationships, and in which therapeutic areas. These are facts, and they are not protectable. The graph’s structure, such as the choice to represent companies as nodes and relationships as typed edges, is largely dictated by the nature of the data itself rather than by creative editorial judgment. This leaves very little room for an “original arrangement” argument. As a result, if the graph were made publicly available or otherwise disclosed, thin copyright protection would offer no meaningful barrier to a competitor extracting and reusing its factual content, because the facts and the graph are effectively inseparable.</w:t>
      </w:r>
    </w:p>
    <w:p w14:paraId="396E4363">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This is why trade secret protection, discussed in Section 4.2, is the more critical consideration. Copyright operates after disclosure; trade secret protection depends on preventing disclosure in the first place.</w:t>
      </w:r>
    </w:p>
    <w:p w14:paraId="0718CB62">
      <w:pPr>
        <w:pStyle w:val="3"/>
        <w:spacing w:before="300" w:after="150"/>
        <w:rPr>
          <w:rFonts w:hint="default" w:ascii="Arial Regular" w:hAnsi="Arial Regular" w:cs="Arial Regular"/>
        </w:rPr>
      </w:pPr>
      <w:r>
        <w:rPr>
          <w:rFonts w:hint="default" w:ascii="Arial Regular" w:hAnsi="Arial Regular" w:eastAsia="Georgia" w:cs="Arial Regular"/>
          <w:b/>
          <w:bCs/>
          <w:color w:val="1A1A1A"/>
          <w:sz w:val="24"/>
          <w:szCs w:val="24"/>
        </w:rPr>
        <w:t>4.2 Trade Secret Protection</w:t>
      </w:r>
    </w:p>
    <w:p w14:paraId="428093F5">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Trade secret law may offer a more effective form of protection, depending on how CSL treats the graph internally. Under the Defend Trade Secrets Act,</w:t>
      </w:r>
      <w:r>
        <w:rPr>
          <w:rStyle w:val="15"/>
          <w:rFonts w:hint="default" w:ascii="Arial Regular" w:hAnsi="Arial Regular" w:cs="Arial Regular"/>
        </w:rPr>
        <w:footnoteReference w:id="9"/>
      </w:r>
      <w:r>
        <w:rPr>
          <w:rFonts w:hint="default" w:ascii="Arial Regular" w:hAnsi="Arial Regular" w:eastAsia="Calibri" w:cs="Arial Regular"/>
          <w:color w:val="333333"/>
          <w:sz w:val="22"/>
          <w:szCs w:val="22"/>
        </w:rPr>
        <w:t xml:space="preserve"> information qualifies as a trade secret if it meets two requirements: first, it derives independent economic value from not being generally known to or readily ascertainable by others who could benefit from its disclosure; and second, the holder takes reasonable measures to maintain its secrecy.</w:t>
      </w:r>
      <w:r>
        <w:rPr>
          <w:rStyle w:val="15"/>
          <w:rFonts w:hint="default" w:ascii="Arial Regular" w:hAnsi="Arial Regular" w:cs="Arial Regular"/>
        </w:rPr>
        <w:footnoteReference w:id="10"/>
      </w:r>
    </w:p>
    <w:p w14:paraId="20B8F48C">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Whether CSL’s knowledge graph meets the first requirement depends on whether CSL considers the graph’s content to be competitively valuable beyond the publicly available facts it contains. The raw data (patent filings, SEC records) is public. But the graph as a whole may reflect proprietary curatorial decisions: which organizations CSL chose to track, how it defined and weighted relationships, which therapeutic areas it prioritized, and what confidence thresholds it applied. If these choices reflect CSL’s domain expertise and strategic priorities, and if a competitor could derive economic value from knowing them, the graph could satisfy the economic value requirement.</w:t>
      </w:r>
    </w:p>
    <w:p w14:paraId="7DB9EC31">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The second requirement is entirely within CSL’s control. To maintain trade secret status, CSL would need to implement reasonable measures to keep the graph confidential. These could include access controls limiting who can query the graph internally, nondisclosure agreements with employees and contractors who interact with the graph, technical safeguards such as audit logging and role-based permissions, and clear internal policies classifying the graph as confidential. If CSL publishes the full graph or CSL-specific subsets externally without restriction, trade secret protection would be weakened or lost.</w:t>
      </w:r>
    </w:p>
    <w:p w14:paraId="420A60EA">
      <w:pPr>
        <w:pStyle w:val="3"/>
        <w:spacing w:before="300" w:after="150"/>
        <w:rPr>
          <w:rFonts w:hint="default" w:ascii="Arial Regular" w:hAnsi="Arial Regular" w:cs="Arial Regular"/>
        </w:rPr>
      </w:pPr>
      <w:r>
        <w:rPr>
          <w:rFonts w:hint="default" w:ascii="Arial Regular" w:hAnsi="Arial Regular" w:eastAsia="Georgia" w:cs="Arial Regular"/>
          <w:b/>
          <w:bCs/>
          <w:color w:val="1A1A1A"/>
          <w:sz w:val="24"/>
          <w:szCs w:val="24"/>
        </w:rPr>
        <w:t>4.3 Patent Protection</w:t>
      </w:r>
    </w:p>
    <w:p w14:paraId="0648A610">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The multi-LLM cross-validation methodology used in this project, in which multiple language models independently extract and verify relationships to produce a consensus-based confidence score, could potentially be patentable as a process under U.S. patent law. A full patentability analysis, including assessment of novelty, nonobviousness, and patent-eligible subject matter under 35 U.S.C. § 101, is beyond the scope of this report. CSL may wish to consult patent counsel if it intends to pursue this avenue.</w:t>
      </w:r>
    </w:p>
    <w:p w14:paraId="6A041346">
      <w:pPr>
        <w:pStyle w:val="2"/>
        <w:spacing w:before="400" w:after="200"/>
        <w:rPr>
          <w:rFonts w:hint="default" w:ascii="Arial Regular" w:hAnsi="Arial Regular" w:cs="Arial Regular"/>
        </w:rPr>
      </w:pPr>
      <w:r>
        <w:rPr>
          <w:rFonts w:hint="default" w:ascii="Arial Regular" w:hAnsi="Arial Regular" w:eastAsia="Georgia" w:cs="Arial Regular"/>
          <w:b/>
          <w:bCs/>
          <w:color w:val="1A1A1A"/>
          <w:sz w:val="28"/>
          <w:szCs w:val="28"/>
        </w:rPr>
        <w:t>5. Conclusion</w:t>
      </w:r>
    </w:p>
    <w:p w14:paraId="35BF6BBF">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The overall risk profile of this project is low. All data sources used in the pipeline are either in the public domain or expressly authorized by CSL, and our collection methods comply with each provider’s terms of use. CSL has confirmed that external LLM APIs may be used and that organization names may be included in prompts, removing the principal data governance concerns.</w:t>
      </w:r>
    </w:p>
    <w:p w14:paraId="6C089B42">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The accuracy risks inherent in LLM-based extraction, specifically alias ambiguity and hallucination, are real but manageable. The confidence scoring mechanism, combined with a human review layer for low-confidence and randomly sampled high-confidence outputs, provides a structured framework for error control. The key step remaining before deployment is for CSL to define its acceptable error tolerance so that confidence thresholds can be calibrated empirically rather than set arbitrarily.</w:t>
      </w:r>
    </w:p>
    <w:p w14:paraId="578E22F3">
      <w:pPr>
        <w:spacing w:after="160" w:line="320" w:lineRule="auto"/>
        <w:rPr>
          <w:rFonts w:hint="default" w:ascii="Arial Regular" w:hAnsi="Arial Regular" w:cs="Arial Regular"/>
        </w:rPr>
      </w:pPr>
      <w:r>
        <w:rPr>
          <w:rFonts w:hint="default" w:ascii="Arial Regular" w:hAnsi="Arial Regular" w:eastAsia="Calibri" w:cs="Arial Regular"/>
          <w:color w:val="333333"/>
          <w:sz w:val="22"/>
          <w:szCs w:val="22"/>
        </w:rPr>
        <w:t>On the intellectual property side, CSL should be aware that copyright offers limited protection for a knowledge graph composed primarily of public facts. If CSL considers the graph’s content to be competitively sensitive, trade secret protection is the more viable path, but it requires affirmative measures to maintain confidentiality. Without those measures, the protection does not exist.</w:t>
      </w:r>
    </w:p>
    <w:sectPr>
      <w:headerReference r:id="rId4" w:type="default"/>
      <w:footerReference r:id="rId5"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Georgia">
    <w:panose1 w:val="02040502050405090303"/>
    <w:charset w:val="00"/>
    <w:family w:val="auto"/>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Regular">
    <w:panose1 w:val="020B0704020202020204"/>
    <w:charset w:val="00"/>
    <w:family w:val="auto"/>
    <w:pitch w:val="default"/>
    <w:sig w:usb0="E0002AFF" w:usb1="C0007843"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45C78">
    <w:pPr>
      <w:jc w:val="center"/>
    </w:pPr>
    <w:r>
      <w:rPr>
        <w:rFonts w:ascii="Calibri" w:hAnsi="Calibri" w:eastAsia="Calibri" w:cs="Calibri"/>
        <w:color w:val="999999"/>
        <w:sz w:val="18"/>
        <w:szCs w:val="18"/>
      </w:rPr>
      <w:t xml:space="preserve">Page </w:t>
    </w:r>
    <w:r>
      <w:rPr>
        <w:rFonts w:ascii="Calibri" w:hAnsi="Calibri" w:eastAsia="Calibri" w:cs="Calibri"/>
        <w:color w:val="999999"/>
        <w:sz w:val="18"/>
        <w:szCs w:val="18"/>
      </w:rPr>
      <w:fldChar w:fldCharType="begin"/>
    </w:r>
    <w:r>
      <w:rPr>
        <w:rFonts w:ascii="Calibri" w:hAnsi="Calibri" w:eastAsia="Calibri" w:cs="Calibri"/>
        <w:color w:val="999999"/>
        <w:sz w:val="18"/>
        <w:szCs w:val="18"/>
      </w:rPr>
      <w:instrText xml:space="preserve">PAGE</w:instrText>
    </w:r>
    <w:r>
      <w:rPr>
        <w:rFonts w:ascii="Calibri" w:hAnsi="Calibri" w:eastAsia="Calibri" w:cs="Calibri"/>
        <w:color w:val="999999"/>
        <w:sz w:val="18"/>
        <w:szCs w:val="18"/>
      </w:rPr>
      <w:fldChar w:fldCharType="separate"/>
    </w:r>
    <w:r>
      <w:rPr>
        <w:rFonts w:ascii="Calibri" w:hAnsi="Calibri" w:eastAsia="Calibri" w:cs="Calibri"/>
        <w:color w:val="99999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2">
    <w:p>
      <w:r>
        <w:separator/>
      </w:r>
    </w:p>
  </w:footnote>
  <w:footnote w:type="continuationSeparator" w:id="23">
    <w:p>
      <w:r>
        <w:continuationSeparator/>
      </w:r>
    </w:p>
  </w:footnote>
  <w:footnote w:id="0">
    <w:p w14:paraId="3905DECA">
      <w:pPr>
        <w:rPr>
          <w:rFonts w:hint="default" w:ascii="Arial Regular" w:hAnsi="Arial Regular" w:cs="Arial Regular"/>
        </w:rPr>
      </w:pPr>
      <w:r>
        <w:rPr>
          <w:rStyle w:val="15"/>
          <w:rFonts w:hint="default" w:ascii="Arial Regular" w:hAnsi="Arial Regular" w:cs="Arial Regular"/>
        </w:rPr>
        <w:footnoteRef/>
      </w:r>
      <w:r>
        <w:rPr>
          <w:rFonts w:hint="default" w:ascii="Arial Regular" w:hAnsi="Arial Regular" w:eastAsia="Calibri" w:cs="Arial Regular"/>
          <w:color w:val="333333"/>
          <w:sz w:val="18"/>
          <w:szCs w:val="18"/>
        </w:rPr>
        <w:t>17 U.S.C. § 105: “Copyright protection under this title is not available for any work of the United States Government.”</w:t>
      </w:r>
    </w:p>
  </w:footnote>
  <w:footnote w:id="1">
    <w:p w14:paraId="4B534C84">
      <w:pPr>
        <w:rPr>
          <w:rFonts w:hint="default" w:ascii="Arial Regular" w:hAnsi="Arial Regular" w:cs="Arial Regular"/>
        </w:rPr>
      </w:pPr>
      <w:r>
        <w:rPr>
          <w:rStyle w:val="15"/>
          <w:rFonts w:hint="default" w:ascii="Arial Regular" w:hAnsi="Arial Regular" w:cs="Arial Regular"/>
        </w:rPr>
        <w:footnoteRef/>
      </w:r>
      <w:r>
        <w:rPr>
          <w:rFonts w:hint="default" w:ascii="Arial Regular" w:hAnsi="Arial Regular" w:eastAsia="Calibri" w:cs="Arial Regular"/>
          <w:color w:val="333333"/>
          <w:sz w:val="18"/>
          <w:szCs w:val="18"/>
          <w:u w:val="none"/>
        </w:rPr>
        <w:fldChar w:fldCharType="begin"/>
      </w:r>
      <w:r>
        <w:rPr>
          <w:rFonts w:hint="default" w:ascii="Arial Regular" w:hAnsi="Arial Regular" w:eastAsia="Calibri" w:cs="Arial Regular"/>
          <w:color w:val="333333"/>
          <w:sz w:val="18"/>
          <w:szCs w:val="18"/>
          <w:u w:val="none"/>
        </w:rPr>
        <w:instrText xml:space="preserve"> HYPERLINK "https://www.ncbi.nlm.nih.gov/home/about/policies/" </w:instrText>
      </w:r>
      <w:r>
        <w:rPr>
          <w:rFonts w:hint="default" w:ascii="Arial Regular" w:hAnsi="Arial Regular" w:eastAsia="Calibri" w:cs="Arial Regular"/>
          <w:color w:val="333333"/>
          <w:sz w:val="18"/>
          <w:szCs w:val="18"/>
          <w:u w:val="none"/>
        </w:rPr>
        <w:fldChar w:fldCharType="separate"/>
      </w:r>
      <w:r>
        <w:rPr>
          <w:rStyle w:val="14"/>
          <w:rFonts w:hint="default" w:ascii="Arial Regular" w:hAnsi="Arial Regular" w:eastAsia="Calibri" w:cs="Arial Regular"/>
          <w:sz w:val="18"/>
          <w:szCs w:val="18"/>
        </w:rPr>
        <w:t>NCBI Website and Data Usage Policies, National Institutes of Health.</w:t>
      </w:r>
      <w:r>
        <w:rPr>
          <w:rFonts w:hint="default" w:ascii="Arial Regular" w:hAnsi="Arial Regular" w:eastAsia="Calibri" w:cs="Arial Regular"/>
          <w:color w:val="333333"/>
          <w:sz w:val="18"/>
          <w:szCs w:val="18"/>
          <w:u w:val="none"/>
        </w:rPr>
        <w:fldChar w:fldCharType="end"/>
      </w:r>
      <w:r>
        <w:rPr>
          <w:rFonts w:hint="default" w:ascii="Arial Regular" w:hAnsi="Arial Regular" w:eastAsia="Calibri" w:cs="Arial Regular"/>
          <w:color w:val="333333"/>
          <w:sz w:val="18"/>
          <w:szCs w:val="18"/>
        </w:rPr>
        <w:t xml:space="preserve"> (“NLM does not claim the copyright on the abstracts in PubMed; however, journal publishers or authors may.”)</w:t>
      </w:r>
    </w:p>
  </w:footnote>
  <w:footnote w:id="2">
    <w:p w14:paraId="021AD975">
      <w:pPr>
        <w:rPr>
          <w:rFonts w:hint="default" w:ascii="Arial Regular" w:hAnsi="Arial Regular" w:eastAsia="Calibri" w:cs="Arial Regular"/>
          <w:color w:val="333333"/>
          <w:sz w:val="18"/>
          <w:szCs w:val="18"/>
        </w:rPr>
      </w:pPr>
      <w:r>
        <w:rPr>
          <w:rStyle w:val="15"/>
          <w:rFonts w:hint="default" w:ascii="Arial Regular" w:hAnsi="Arial Regular" w:cs="Arial Regular"/>
        </w:rPr>
        <w:footnoteRef/>
      </w:r>
      <w:r>
        <w:rPr>
          <w:rFonts w:hint="default" w:ascii="Arial Regular" w:hAnsi="Arial Regular" w:eastAsia="Calibri" w:cs="Arial Regular"/>
          <w:color w:val="333333"/>
          <w:sz w:val="18"/>
          <w:szCs w:val="18"/>
        </w:rPr>
        <w:fldChar w:fldCharType="begin"/>
      </w:r>
      <w:r>
        <w:rPr>
          <w:rFonts w:hint="default" w:ascii="Arial Regular" w:hAnsi="Arial Regular" w:eastAsia="Calibri" w:cs="Arial Regular"/>
          <w:color w:val="333333"/>
          <w:sz w:val="18"/>
          <w:szCs w:val="18"/>
        </w:rPr>
        <w:instrText xml:space="preserve"> HYPERLINK "https://dtd.nlm.nih.gov/ncbi/pubmed/doc/out/190101/el-Abstract.html" </w:instrText>
      </w:r>
      <w:r>
        <w:rPr>
          <w:rFonts w:hint="default" w:ascii="Arial Regular" w:hAnsi="Arial Regular" w:eastAsia="Calibri" w:cs="Arial Regular"/>
          <w:color w:val="333333"/>
          <w:sz w:val="18"/>
          <w:szCs w:val="18"/>
        </w:rPr>
        <w:fldChar w:fldCharType="separate"/>
      </w:r>
      <w:r>
        <w:rPr>
          <w:rStyle w:val="14"/>
          <w:rFonts w:hint="default" w:ascii="Arial Regular" w:hAnsi="Arial Regular" w:eastAsia="Calibri" w:cs="Arial Regular"/>
          <w:sz w:val="18"/>
          <w:szCs w:val="18"/>
        </w:rPr>
        <w:t>NLM, PubMed Abstract Element Documentation</w:t>
      </w:r>
      <w:r>
        <w:rPr>
          <w:rFonts w:hint="default" w:ascii="Arial Regular" w:hAnsi="Arial Regular" w:eastAsia="Calibri" w:cs="Arial Regular"/>
          <w:color w:val="333333"/>
          <w:sz w:val="18"/>
          <w:szCs w:val="18"/>
        </w:rPr>
        <w:fldChar w:fldCharType="end"/>
      </w:r>
      <w:r>
        <w:rPr>
          <w:rFonts w:hint="default" w:ascii="Arial Regular" w:hAnsi="Arial Regular" w:eastAsia="Calibri" w:cs="Arial Regular"/>
          <w:color w:val="333333"/>
          <w:sz w:val="18"/>
          <w:szCs w:val="18"/>
        </w:rPr>
        <w:t>. (“Publishers have given NLM permission to use abstracts for which they claim copyright; NLM does not hold copyright on the abstracts in PubMed.”)</w:t>
      </w:r>
    </w:p>
  </w:footnote>
  <w:footnote w:id="3">
    <w:p w14:paraId="43A758A0">
      <w:pPr>
        <w:rPr>
          <w:rFonts w:hint="default" w:ascii="Arial Regular" w:hAnsi="Arial Regular" w:cs="Arial Regular"/>
        </w:rPr>
      </w:pPr>
      <w:r>
        <w:rPr>
          <w:rStyle w:val="15"/>
          <w:rFonts w:hint="default" w:ascii="Arial Regular" w:hAnsi="Arial Regular" w:cs="Arial Regular"/>
        </w:rPr>
        <w:footnoteRef/>
      </w:r>
      <w:r>
        <w:rPr>
          <w:rFonts w:hint="default" w:ascii="Arial Regular" w:hAnsi="Arial Regular" w:eastAsia="Calibri" w:cs="Arial Regular"/>
          <w:color w:val="333333"/>
          <w:sz w:val="18"/>
          <w:szCs w:val="18"/>
        </w:rPr>
        <w:fldChar w:fldCharType="begin"/>
      </w:r>
      <w:r>
        <w:rPr>
          <w:rFonts w:hint="default" w:ascii="Arial Regular" w:hAnsi="Arial Regular" w:eastAsia="Calibri" w:cs="Arial Regular"/>
          <w:color w:val="333333"/>
          <w:sz w:val="18"/>
          <w:szCs w:val="18"/>
        </w:rPr>
        <w:instrText xml:space="preserve"> HYPERLINK "https://www.sec.gov/search-filings/edgar-search-assistance/accessing-edgar-data" </w:instrText>
      </w:r>
      <w:r>
        <w:rPr>
          <w:rFonts w:hint="default" w:ascii="Arial Regular" w:hAnsi="Arial Regular" w:eastAsia="Calibri" w:cs="Arial Regular"/>
          <w:color w:val="333333"/>
          <w:sz w:val="18"/>
          <w:szCs w:val="18"/>
        </w:rPr>
        <w:fldChar w:fldCharType="separate"/>
      </w:r>
      <w:r>
        <w:rPr>
          <w:rStyle w:val="14"/>
          <w:rFonts w:hint="default" w:ascii="Arial Regular" w:hAnsi="Arial Regular" w:eastAsia="Calibri" w:cs="Arial Regular"/>
          <w:sz w:val="18"/>
          <w:szCs w:val="18"/>
        </w:rPr>
        <w:t>SEC, Accessing EDGAR Data.</w:t>
      </w:r>
      <w:r>
        <w:rPr>
          <w:rFonts w:hint="default" w:ascii="Arial Regular" w:hAnsi="Arial Regular" w:eastAsia="Calibri" w:cs="Arial Regular"/>
          <w:color w:val="333333"/>
          <w:sz w:val="18"/>
          <w:szCs w:val="18"/>
        </w:rPr>
        <w:fldChar w:fldCharType="end"/>
      </w:r>
      <w:r>
        <w:rPr>
          <w:rFonts w:hint="default" w:ascii="Arial Regular" w:hAnsi="Arial Regular" w:eastAsia="Calibri" w:cs="Arial Regular"/>
          <w:color w:val="333333"/>
          <w:sz w:val="18"/>
          <w:szCs w:val="18"/>
        </w:rPr>
        <w:t xml:space="preserve"> (“To ensure everyone has equitable access to SEC EDGAR content, please use efficient scripting… SEC reserves the right to limit request rates to preserve fair access for all users.”)</w:t>
      </w:r>
    </w:p>
  </w:footnote>
  <w:footnote w:id="4">
    <w:p w14:paraId="1622C0DE">
      <w:pPr>
        <w:rPr>
          <w:rFonts w:hint="default" w:ascii="Arial Regular" w:hAnsi="Arial Regular" w:cs="Arial Regular"/>
        </w:rPr>
      </w:pPr>
      <w:r>
        <w:rPr>
          <w:rStyle w:val="15"/>
          <w:rFonts w:hint="default" w:ascii="Arial Regular" w:hAnsi="Arial Regular" w:cs="Arial Regular"/>
        </w:rPr>
        <w:footnoteRef/>
      </w:r>
      <w:r>
        <w:rPr>
          <w:rFonts w:hint="default" w:ascii="Arial Regular" w:hAnsi="Arial Regular" w:eastAsia="Calibri" w:cs="Arial Regular"/>
          <w:color w:val="333333"/>
          <w:sz w:val="18"/>
          <w:szCs w:val="18"/>
        </w:rPr>
        <w:fldChar w:fldCharType="begin"/>
      </w:r>
      <w:r>
        <w:rPr>
          <w:rFonts w:hint="default" w:ascii="Arial Regular" w:hAnsi="Arial Regular" w:eastAsia="Calibri" w:cs="Arial Regular"/>
          <w:color w:val="333333"/>
          <w:sz w:val="18"/>
          <w:szCs w:val="18"/>
        </w:rPr>
        <w:instrText xml:space="preserve"> HYPERLINK "https://www.sec.gov/filergroup/announcements-old/new-rate-control-limits." </w:instrText>
      </w:r>
      <w:r>
        <w:rPr>
          <w:rFonts w:hint="default" w:ascii="Arial Regular" w:hAnsi="Arial Regular" w:eastAsia="Calibri" w:cs="Arial Regular"/>
          <w:color w:val="333333"/>
          <w:sz w:val="18"/>
          <w:szCs w:val="18"/>
        </w:rPr>
        <w:fldChar w:fldCharType="separate"/>
      </w:r>
      <w:r>
        <w:rPr>
          <w:rStyle w:val="14"/>
          <w:rFonts w:hint="default" w:ascii="Arial Regular" w:hAnsi="Arial Regular" w:eastAsia="Calibri" w:cs="Arial Regular"/>
          <w:sz w:val="18"/>
          <w:szCs w:val="18"/>
        </w:rPr>
        <w:t>SEC, New Rate Control Limits for EDGAR Websites</w:t>
      </w:r>
      <w:r>
        <w:rPr>
          <w:rFonts w:hint="default" w:ascii="Arial Regular" w:hAnsi="Arial Regular" w:eastAsia="Calibri" w:cs="Arial Regular"/>
          <w:color w:val="333333"/>
          <w:sz w:val="18"/>
          <w:szCs w:val="18"/>
        </w:rPr>
        <w:fldChar w:fldCharType="end"/>
      </w:r>
      <w:r>
        <w:rPr>
          <w:rFonts w:hint="default" w:ascii="Arial Regular" w:hAnsi="Arial Regular" w:eastAsia="Calibri" w:cs="Arial Regular"/>
          <w:color w:val="333333"/>
          <w:sz w:val="18"/>
          <w:szCs w:val="18"/>
        </w:rPr>
        <w:t xml:space="preserve"> (July 2021) (Automated requests limited to 10 per second.)</w:t>
      </w:r>
    </w:p>
  </w:footnote>
  <w:footnote w:id="5">
    <w:p w14:paraId="2A1890C9">
      <w:pPr>
        <w:rPr>
          <w:rFonts w:hint="default" w:ascii="Arial Regular" w:hAnsi="Arial Regular" w:cs="Arial Regular"/>
        </w:rPr>
      </w:pPr>
      <w:r>
        <w:rPr>
          <w:rStyle w:val="15"/>
          <w:rFonts w:hint="default" w:ascii="Arial Regular" w:hAnsi="Arial Regular" w:cs="Arial Regular"/>
        </w:rPr>
        <w:footnoteRef/>
      </w:r>
      <w:r>
        <w:rPr>
          <w:rFonts w:hint="default" w:ascii="Arial Regular" w:hAnsi="Arial Regular" w:eastAsia="Calibri" w:cs="Arial Regular"/>
          <w:color w:val="333333"/>
          <w:sz w:val="18"/>
          <w:szCs w:val="18"/>
        </w:rPr>
        <w:fldChar w:fldCharType="begin"/>
      </w:r>
      <w:r>
        <w:rPr>
          <w:rFonts w:hint="default" w:ascii="Arial Regular" w:hAnsi="Arial Regular" w:eastAsia="Calibri" w:cs="Arial Regular"/>
          <w:color w:val="333333"/>
          <w:sz w:val="18"/>
          <w:szCs w:val="18"/>
        </w:rPr>
        <w:instrText xml:space="preserve"> HYPERLINK "https://www.ncbi.nlm.nih.gov/books/NBK25497/." </w:instrText>
      </w:r>
      <w:r>
        <w:rPr>
          <w:rFonts w:hint="default" w:ascii="Arial Regular" w:hAnsi="Arial Regular" w:eastAsia="Calibri" w:cs="Arial Regular"/>
          <w:color w:val="333333"/>
          <w:sz w:val="18"/>
          <w:szCs w:val="18"/>
        </w:rPr>
        <w:fldChar w:fldCharType="separate"/>
      </w:r>
      <w:r>
        <w:rPr>
          <w:rStyle w:val="14"/>
          <w:rFonts w:hint="default" w:ascii="Arial Regular" w:hAnsi="Arial Regular" w:eastAsia="Calibri" w:cs="Arial Regular"/>
          <w:sz w:val="18"/>
          <w:szCs w:val="18"/>
        </w:rPr>
        <w:t>NCBI, A General Introduction to the E-utilities.</w:t>
      </w:r>
      <w:r>
        <w:rPr>
          <w:rFonts w:hint="default" w:ascii="Arial Regular" w:hAnsi="Arial Regular" w:eastAsia="Calibri" w:cs="Arial Regular"/>
          <w:color w:val="333333"/>
          <w:sz w:val="18"/>
          <w:szCs w:val="18"/>
        </w:rPr>
        <w:fldChar w:fldCharType="end"/>
      </w:r>
      <w:r>
        <w:rPr>
          <w:rFonts w:hint="default" w:ascii="Arial Regular" w:hAnsi="Arial Regular" w:eastAsia="Calibri" w:cs="Arial Regular"/>
          <w:color w:val="333333"/>
          <w:sz w:val="18"/>
          <w:szCs w:val="18"/>
        </w:rPr>
        <w:t xml:space="preserve"> (E-utilities usage policies: contact email required; requests limited to 3/second without API key, 10/second with key.)</w:t>
      </w:r>
    </w:p>
  </w:footnote>
  <w:footnote w:id="6">
    <w:p w14:paraId="3D72D603">
      <w:pPr>
        <w:rPr>
          <w:rFonts w:hint="default" w:ascii="Arial Regular" w:hAnsi="Arial Regular" w:cs="Arial Regular"/>
        </w:rPr>
      </w:pPr>
      <w:r>
        <w:rPr>
          <w:rStyle w:val="15"/>
          <w:rFonts w:hint="default" w:ascii="Arial Regular" w:hAnsi="Arial Regular" w:cs="Arial Regular"/>
        </w:rPr>
        <w:footnoteRef/>
      </w:r>
      <w:r>
        <w:rPr>
          <w:rFonts w:hint="default" w:ascii="Arial Regular" w:hAnsi="Arial Regular" w:eastAsia="Calibri" w:cs="Arial Regular"/>
          <w:color w:val="333333"/>
          <w:sz w:val="18"/>
          <w:szCs w:val="18"/>
        </w:rPr>
        <w:t>OpenAI, API Data Usage Policies (as of March 2026). Available at: https://openai.com/policies/api-data-usage-policies. (API inputs are not used for model training by default.)</w:t>
      </w:r>
    </w:p>
  </w:footnote>
  <w:footnote w:id="7">
    <w:p w14:paraId="51846B90">
      <w:pPr>
        <w:rPr>
          <w:rFonts w:hint="default" w:ascii="Arial Regular" w:hAnsi="Arial Regular" w:cs="Arial Regular"/>
        </w:rPr>
      </w:pPr>
      <w:r>
        <w:rPr>
          <w:rStyle w:val="15"/>
          <w:rFonts w:hint="default" w:ascii="Arial Regular" w:hAnsi="Arial Regular" w:cs="Arial Regular"/>
        </w:rPr>
        <w:footnoteRef/>
      </w:r>
      <w:r>
        <w:rPr>
          <w:rFonts w:hint="default" w:ascii="Arial Regular" w:hAnsi="Arial Regular" w:eastAsia="Calibri" w:cs="Arial Regular"/>
          <w:color w:val="333333"/>
          <w:sz w:val="18"/>
          <w:szCs w:val="18"/>
        </w:rPr>
        <w:t>Anthropic, Commercial Terms of Service. Available at: https://www.anthropic.com/legal/commercial-terms. (Anthropic does not train on API inputs.)</w:t>
      </w:r>
    </w:p>
  </w:footnote>
  <w:footnote w:id="8">
    <w:p w14:paraId="6AAFA10E">
      <w:pPr>
        <w:rPr>
          <w:rFonts w:hint="default" w:ascii="Arial Regular" w:hAnsi="Arial Regular" w:cs="Arial Regular"/>
        </w:rPr>
      </w:pPr>
      <w:r>
        <w:rPr>
          <w:rStyle w:val="15"/>
          <w:rFonts w:hint="default" w:ascii="Arial Regular" w:hAnsi="Arial Regular" w:cs="Arial Regular"/>
        </w:rPr>
        <w:footnoteRef/>
      </w:r>
      <w:r>
        <w:rPr>
          <w:rFonts w:hint="default" w:ascii="Arial Regular" w:hAnsi="Arial Regular" w:eastAsia="Calibri" w:cs="Arial Regular"/>
          <w:color w:val="333333"/>
          <w:sz w:val="18"/>
          <w:szCs w:val="18"/>
        </w:rPr>
        <w:t>Feist Publications, Inc. v. Rural Telephone Service Co., 499 U.S. 340, 344–345 (1991). The Supreme Court held that facts are not copyrightable and that a factual compilation may receive copyright protection only if it features an original selection, coordination, or arrangement of facts. Even then, the protection is “thin” and does not extend to the underlying facts themselves.</w:t>
      </w:r>
    </w:p>
  </w:footnote>
  <w:footnote w:id="9">
    <w:p w14:paraId="2653561A">
      <w:pPr>
        <w:rPr>
          <w:rFonts w:hint="default" w:ascii="Arial Regular" w:hAnsi="Arial Regular" w:cs="Arial Regular"/>
        </w:rPr>
      </w:pPr>
      <w:r>
        <w:rPr>
          <w:rStyle w:val="15"/>
          <w:rFonts w:hint="default" w:ascii="Arial Regular" w:hAnsi="Arial Regular" w:cs="Arial Regular"/>
        </w:rPr>
        <w:footnoteRef/>
      </w:r>
      <w:r>
        <w:rPr>
          <w:rFonts w:hint="default" w:ascii="Arial Regular" w:hAnsi="Arial Regular" w:eastAsia="Calibri" w:cs="Arial Regular"/>
          <w:color w:val="333333"/>
          <w:sz w:val="18"/>
          <w:szCs w:val="18"/>
        </w:rPr>
        <w:t>Defend Trade Secrets Act of 2016, 18 U.S.C. §§ 1836–1839.</w:t>
      </w:r>
    </w:p>
  </w:footnote>
  <w:footnote w:id="10">
    <w:p w14:paraId="09A0E843">
      <w:pPr>
        <w:rPr>
          <w:rFonts w:hint="default" w:ascii="Arial Regular" w:hAnsi="Arial Regular" w:cs="Arial Regular"/>
        </w:rPr>
      </w:pPr>
      <w:r>
        <w:rPr>
          <w:rStyle w:val="15"/>
          <w:rFonts w:hint="default" w:ascii="Arial Regular" w:hAnsi="Arial Regular" w:cs="Arial Regular"/>
        </w:rPr>
        <w:footnoteRef/>
      </w:r>
      <w:r>
        <w:rPr>
          <w:rFonts w:hint="default" w:ascii="Arial Regular" w:hAnsi="Arial Regular" w:eastAsia="Calibri" w:cs="Arial Regular"/>
          <w:color w:val="333333"/>
          <w:sz w:val="18"/>
          <w:szCs w:val="18"/>
        </w:rPr>
        <w:t>18 U.S.C. § 1839(3). A trade secret is defined as information that “derives independent economic value, actual or potential, from not being generally known to, and not being readily ascertainable through proper means by, another person who can obtain economic value from the disclosure or use of the information” and is “the subject of efforts that are reasonable under the circumstances to maintain its secrecy.”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36495">
    <w:pPr>
      <w:jc w:val="right"/>
    </w:pPr>
    <w:r>
      <w:rPr>
        <w:rFonts w:ascii="Calibri" w:hAnsi="Calibri" w:eastAsia="Calibri" w:cs="Calibri"/>
        <w:i/>
        <w:iCs/>
        <w:color w:val="999999"/>
        <w:sz w:val="18"/>
        <w:szCs w:val="18"/>
      </w:rPr>
      <w:t>CSL Behring Knowledge Graph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footnotePr>
    <w:footnote w:id="22"/>
    <w:footnote w:id="23"/>
  </w:footnotePr>
  <w:compat>
    <w:useFELayout/>
    <w:compatSetting w:name="compatibilityMode" w:uri="http://schemas.microsoft.com/office/word" w:val="15"/>
  </w:compat>
  <w:rsids>
    <w:rsidRoot w:val="00000000"/>
    <w:rsid w:val="6B6732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sz w:val="22"/>
      <w:szCs w:val="22"/>
    </w:rPr>
  </w:style>
  <w:style w:type="paragraph" w:styleId="2">
    <w:name w:val="heading 1"/>
    <w:next w:val="1"/>
    <w:qFormat/>
    <w:uiPriority w:val="0"/>
    <w:pPr>
      <w:spacing w:before="400" w:after="200"/>
      <w:outlineLvl w:val="0"/>
    </w:pPr>
    <w:rPr>
      <w:rFonts w:ascii="Georgia" w:hAnsi="Georgia" w:eastAsia="Georgia" w:cs="Georgia"/>
      <w:b/>
      <w:bCs/>
      <w:sz w:val="28"/>
      <w:szCs w:val="28"/>
    </w:rPr>
  </w:style>
  <w:style w:type="paragraph" w:styleId="3">
    <w:name w:val="heading 2"/>
    <w:next w:val="1"/>
    <w:qFormat/>
    <w:uiPriority w:val="0"/>
    <w:pPr>
      <w:spacing w:before="300" w:after="150"/>
      <w:outlineLvl w:val="1"/>
    </w:pPr>
    <w:rPr>
      <w:rFonts w:ascii="Georgia" w:hAnsi="Georgia" w:eastAsia="Georgia" w:cs="Georgia"/>
      <w:b/>
      <w:bCs/>
      <w:sz w:val="24"/>
      <w:szCs w:val="24"/>
    </w:rPr>
  </w:style>
  <w:style w:type="paragraph" w:styleId="4">
    <w:name w:val="heading 3"/>
    <w:next w:val="1"/>
    <w:qFormat/>
    <w:uiPriority w:val="0"/>
    <w:pPr>
      <w:spacing w:before="240" w:after="120"/>
      <w:outlineLvl w:val="2"/>
    </w:pPr>
    <w:rPr>
      <w:rFonts w:ascii="Calibri" w:hAnsi="Calibri" w:eastAsia="Calibri" w:cs="Calibri"/>
      <w:b/>
      <w:bCs/>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Calibri" w:hAnsi="Calibri" w:eastAsia="Calibri" w:cs="Calibri"/>
      <w:sz w:val="20"/>
      <w:szCs w:val="20"/>
    </w:rPr>
  </w:style>
  <w:style w:type="paragraph" w:styleId="9">
    <w:name w:val="footnote text"/>
    <w:link w:val="17"/>
    <w:semiHidden/>
    <w:unhideWhenUsed/>
    <w:uiPriority w:val="99"/>
    <w:pPr>
      <w:spacing w:after="0" w:line="240" w:lineRule="auto"/>
    </w:pPr>
    <w:rPr>
      <w:rFonts w:ascii="Calibri" w:hAnsi="Calibri" w:eastAsia="Calibri" w:cs="Calibri"/>
      <w:sz w:val="20"/>
      <w:szCs w:val="20"/>
    </w:rPr>
  </w:style>
  <w:style w:type="paragraph" w:styleId="10">
    <w:name w:val="Title"/>
    <w:qFormat/>
    <w:uiPriority w:val="0"/>
    <w:rPr>
      <w:rFonts w:ascii="Calibri" w:hAnsi="Calibri" w:eastAsia="Calibri" w:cs="Calibr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37</TotalTime>
  <ScaleCrop>false</ScaleCrop>
  <LinksUpToDate>false</LinksUpToDate>
  <Application>WPS Office_7.3.1.8967_F1E327BC-269C-435d-A152-05C5408002CA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Gabi</cp:lastModifiedBy>
  <dcterms:modified xsi:type="dcterms:W3CDTF">2026-04-23T15:30:16Z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656949795C74DC4A4873EA697044F5E3_42</vt:lpwstr>
  </property>
</Properties>
</file>