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color w:val="666666"/>
          <w:sz w:val="22"/>
          <w:szCs w:val="22"/>
        </w:rPr>
        <w:t xml:space="preserve">ESCUELA POLITÉCNICA NACIONAL</w:t>
      </w:r>
    </w:p>
    <w:p>
      <w:pPr>
        <w:spacing w:before="200"/>
        <w:jc w:val="center"/>
      </w:pPr>
    </w:p>
    <w:p>
      <w:pPr>
        <w:jc w:val="center"/>
      </w:pPr>
      <w:r>
        <w:rPr>
          <w:b/>
          <w:bCs/>
          <w:color w:val="1c2f66"/>
          <w:sz w:val="64"/>
          <w:szCs w:val="64"/>
        </w:rPr>
        <w:t xml:space="preserve">AEIS-APP</w:t>
      </w:r>
    </w:p>
    <w:p>
      <w:pPr>
        <w:spacing w:before="200"/>
        <w:jc w:val="center"/>
      </w:pPr>
      <w:r>
        <w:rPr>
          <w:color w:val="0f6a52"/>
          <w:sz w:val="30"/>
          <w:szCs w:val="30"/>
        </w:rPr>
        <w:t xml:space="preserve">Análisis de Dominio del Producto</w:t>
      </w:r>
    </w:p>
    <w:p>
      <w:pPr>
        <w:jc w:val="center"/>
      </w:pPr>
      <w:r>
        <w:rPr>
          <w:i/>
          <w:iCs/>
          <w:sz w:val="22"/>
          <w:szCs w:val="22"/>
        </w:rPr>
        <w:t xml:space="preserve">Business/Mission Analysis · Stakeholder Needs and Requirements Definition</w:t>
      </w:r>
    </w:p>
    <w:p>
      <w:pPr>
        <w:jc w:val="center"/>
      </w:pPr>
      <w:r>
        <w:rPr>
          <w:i/>
          <w:iCs/>
          <w:sz w:val="22"/>
          <w:szCs w:val="22"/>
        </w:rPr>
        <w:t xml:space="preserve">según los grupos de procesos de ISO/IEC/IEEE 12207</w:t>
      </w:r>
    </w:p>
    <w:p>
      <w:pPr>
        <w:spacing w:before="1200"/>
      </w:pPr>
    </w:p>
    <w:p>
      <w:pPr>
        <w:jc w:val="center"/>
      </w:pPr>
      <w:r>
        <w:rPr>
          <w:sz w:val="22"/>
          <w:szCs w:val="22"/>
        </w:rPr>
        <w:t xml:space="preserve">Sistema de Gestión y Alquiler de Casilleros Inteligentes</w:t>
      </w:r>
    </w:p>
    <w:p>
      <w:pPr>
        <w:jc w:val="center"/>
      </w:pPr>
      <w:r>
        <w:rPr>
          <w:sz w:val="22"/>
          <w:szCs w:val="22"/>
        </w:rPr>
        <w:t xml:space="preserve">Asociación de Estudiantes de Ingeniería en Sistemas (AEIS) — EPN, Quito, Ecuador</w:t>
      </w:r>
    </w:p>
    <w:p>
      <w:pPr>
        <w:spacing w:before="1600"/>
      </w:pPr>
    </w:p>
    <w:p>
      <w:pPr>
        <w:jc w:val="center"/>
      </w:pPr>
      <w:r>
        <w:rPr>
          <w:color w:val="666666"/>
          <w:sz w:val="20"/>
          <w:szCs w:val="20"/>
        </w:rPr>
        <w:t xml:space="preserve">Quito, agosto de 2026 — versión 1.0</w:t>
      </w:r>
    </w:p>
    <w:p>
      <w:pPr>
        <w:jc w:val="center"/>
      </w:pPr>
      <w:r>
        <w:rPr>
          <w:color w:val="666666"/>
          <w:sz w:val="20"/>
          <w:szCs w:val="20"/>
        </w:rPr>
        <w:t xml:space="preserve">Elicitado con Luis Guerrero (sponsor/desarrollador)</w:t>
      </w:r>
    </w:p>
    <w:p>
      <w:r>
        <w:br w:type="page"/>
      </w:r>
    </w:p>
    <w:p>
      <w:pPr>
        <w:pStyle w:val="Heading1"/>
        <w:spacing w:after="200" w:before="360"/>
      </w:pPr>
      <w:r>
        <w:rPr>
          <w:b/>
          <w:bCs/>
          <w:color w:val="1c2f66"/>
          <w:sz w:val="32"/>
          <w:szCs w:val="32"/>
        </w:rPr>
        <w:t xml:space="preserve">Introducción</w:t>
      </w:r>
    </w:p>
    <w:p>
      <w:pPr>
        <w:spacing w:after="160"/>
      </w:pPr>
      <w:r>
        <w:t xml:space="preserve">Este documento consolida el análisis de dominio de </w:t>
      </w:r>
      <w:r>
        <w:rPr>
          <w:b/>
          <w:bCs/>
        </w:rPr>
        <w:t xml:space="preserve">AEIS-APP</w:t>
      </w:r>
      <w:r>
        <w:t xml:space="preserve"> siguiendo la estructura de procesos de </w:t>
      </w:r>
      <w:r>
        <w:rPr>
          <w:b/>
          <w:bCs/>
        </w:rPr>
        <w:t xml:space="preserve">ISO/IEC/IEEE 12207</w:t>
      </w:r>
      <w:r>
        <w:t xml:space="preserve"> (Systems and software engineering — Software life cycle processes). Cubre dos procesos técnicos formales — </w:t>
      </w:r>
      <w:r>
        <w:rPr>
          <w:b/>
          <w:bCs/>
        </w:rPr>
        <w:t xml:space="preserve">Business or Mission Analysis</w:t>
      </w:r>
      <w:r>
        <w:t xml:space="preserve"> (Sección 2) y </w:t>
      </w:r>
      <w:r>
        <w:rPr>
          <w:b/>
          <w:bCs/>
        </w:rPr>
        <w:t xml:space="preserve">Stakeholder Needs and Requirements Definition</w:t>
      </w:r>
      <w:r>
        <w:t xml:space="preserve"> (Sección 3) — más dos anexos de datos reales que sustentan esas decisiones: un </w:t>
      </w:r>
      <w:r>
        <w:rPr>
          <w:b/>
          <w:bCs/>
        </w:rPr>
        <w:t xml:space="preserve">análisis financiero</w:t>
      </w:r>
      <w:r>
        <w:t xml:space="preserve"> basado en el histórico contable real de la asociación (Sección 4) y un </w:t>
      </w:r>
      <w:r>
        <w:rPr>
          <w:b/>
          <w:bCs/>
        </w:rPr>
        <w:t xml:space="preserve">análisis de alternativas tecnológicas y costos</w:t>
      </w:r>
      <w:r>
        <w:t xml:space="preserve"> basado en un documento técnico-financiero externo de 30 páginas (Sección 5).</w:t>
      </w:r>
    </w:p>
    <w:p>
      <w:pPr>
        <w:spacing w:after="160"/>
      </w:pPr>
      <w:r>
        <w:t xml:space="preserve">El contenido se elicitó de forma conversacional con el sponsor/desarrollador del proyecto a lo largo de varias rondas, cruzando lo que él indicó directamente con dos fuentes de datos reales: la hoja de gobernanza financiera de AEIS (`Gobernanza_Datos_AEIS.xlsx`) y un documento formal de análisis de alternativas y costos (`Propuesta.pdf`, EPN, agosto 2026). Donde ambas fuentes entraron en conflicto con lo que el sponsor había indicado explícitamente, este documento registra la decisión final del sponsor y deja evidencia del conflicto — no lo oculta.</w:t>
      </w:r>
    </w:p>
    <w:p>
      <w:pPr>
        <w:spacing w:after="120"/>
      </w:pPr>
    </w:p>
    <w:p>
      <w:pPr>
        <w:pStyle w:val="Heading1"/>
        <w:spacing w:after="200" w:before="360"/>
      </w:pPr>
      <w:r>
        <w:rPr>
          <w:b/>
          <w:bCs/>
          <w:color w:val="1c2f66"/>
          <w:sz w:val="32"/>
          <w:szCs w:val="32"/>
        </w:rPr>
        <w:t xml:space="preserve">2. Análisis de Negocio / Misión (Business or Mission Analysis)</w:t>
      </w:r>
    </w:p>
    <w:p>
      <w:pPr>
        <w:spacing w:after="160"/>
      </w:pPr>
      <w:r>
        <w:t xml:space="preserve">Propósito del proceso (ISO 12207): caracterizar el problema u oportunidad de negocio, acotar el espacio de solución y proponer clases de solución candidatas, antes de definir requisitos formales.</w:t>
      </w:r>
    </w:p>
    <w:tbl>
      <w:tblPr>
        <w:tblW w:type="dxa" w:w="9350"/>
        <w:tblBorders>
          <w:top w:val="single" w:color="0f6a52" w:sz="8"/>
          <w:left w:val="single" w:color="0f6a52" w:sz="8"/>
          <w:bottom w:val="single" w:color="0f6a52" w:sz="8"/>
          <w:right w:val="single" w:color="0f6a52" w:sz="8"/>
          <w:insideH w:val="single" w:color="auto" w:sz="4"/>
          <w:insideV w:val="single" w:color="auto" w:sz="4"/>
        </w:tblBorders>
      </w:tblPr>
      <w:tblGrid>
        <w:gridCol w:w="100"/>
      </w:tblGrid>
      <w:tr>
        <w:tc>
          <w:tcPr>
            <w:shd w:fill="eef1f7" w:val="clear"/>
            <w:tcMar>
              <w:top w:type="dxa" w:w="160"/>
              <w:left w:type="dxa" w:w="200"/>
              <w:bottom w:type="dxa" w:w="160"/>
              <w:right w:type="dxa" w:w="200"/>
            </w:tcMar>
          </w:tcPr>
          <w:p>
            <w:r>
              <w:rPr>
                <w:sz w:val="20"/>
                <w:szCs w:val="20"/>
              </w:rPr>
              <w:t xml:space="preserve">Decisiones finales confirmadas por el sponsor, que prevalecen sobre cualquier recomendación externa: backend </w:t>
            </w:r>
            <w:r>
              <w:rPr>
                <w:b/>
                <w:bCs/>
                <w:sz w:val="20"/>
                <w:szCs w:val="20"/>
              </w:rPr>
              <w:t xml:space="preserve">NestJS</w:t>
            </w:r>
            <w:r>
              <w:rPr>
                <w:sz w:val="20"/>
                <w:szCs w:val="20"/>
              </w:rPr>
              <w:t xml:space="preserve">, identidad </w:t>
            </w:r>
            <w:r>
              <w:rPr>
                <w:b/>
                <w:bCs/>
                <w:sz w:val="20"/>
                <w:szCs w:val="20"/>
              </w:rPr>
              <w:t xml:space="preserve">Logto</w:t>
            </w:r>
            <w:r>
              <w:rPr>
                <w:sz w:val="20"/>
                <w:szCs w:val="20"/>
              </w:rPr>
              <w:t xml:space="preserve">, plazo </w:t>
            </w:r>
            <w:r>
              <w:rPr>
                <w:b/>
                <w:bCs/>
                <w:sz w:val="20"/>
                <w:szCs w:val="20"/>
              </w:rPr>
              <w:t xml:space="preserve">3 semanas</w:t>
            </w:r>
            <w:r>
              <w:rPr>
                <w:sz w:val="20"/>
                <w:szCs w:val="20"/>
              </w:rPr>
              <w:t xml:space="preserve">. Ver Sección 5.5 para el detalle de los conflictos resueltos frente al documento técnico externo.</w:t>
            </w:r>
          </w:p>
        </w:tc>
      </w:tr>
    </w:tbl>
    <w:p>
      <w:pPr>
        <w:spacing w:after="120"/>
      </w:pPr>
    </w:p>
    <w:p>
      <w:pPr>
        <w:pStyle w:val="Heading2"/>
        <w:spacing w:after="160" w:before="280"/>
      </w:pPr>
      <w:r>
        <w:rPr>
          <w:b/>
          <w:bCs/>
          <w:color w:val="0f6a52"/>
          <w:sz w:val="26"/>
          <w:szCs w:val="26"/>
        </w:rPr>
        <w:t xml:space="preserve">2.0 Relación con el proyecto académico previo (aeis-app)</w:t>
      </w:r>
    </w:p>
    <w:p>
      <w:pPr>
        <w:spacing w:after="160"/>
      </w:pPr>
      <w:r>
        <w:t xml:space="preserve">Existe un proyecto previo real, no un concepto: `D:\aso-app\aeis-app`, desarrollado en clase (equipo "team02", curso ISWD622_2025A, EPN), con:</w:t>
      </w:r>
    </w:p>
    <w:p>
      <w:pPr>
        <w:pStyle w:val="ListParagraph"/>
        <w:numPr>
          <w:ilvl w:val="0"/>
          <w:numId w:val="2"/>
        </w:numPr>
        <w:spacing w:after="100"/>
      </w:pPr>
      <w:r>
        <w:t xml:space="preserve">Backend </w:t>
      </w:r>
      <w:r>
        <w:rPr>
          <w:b/>
          <w:bCs/>
        </w:rPr>
        <w:t xml:space="preserve">Spring Boot (Java)</w:t>
      </w:r>
      <w:r>
        <w:t xml:space="preserve">, con `LockerRentalService`, `LockerBlockService`, `RentalCalculator`, `PeriodService`, schedulers, y tests unitarios ya escritos.</w:t>
      </w:r>
    </w:p>
    <w:p>
      <w:pPr>
        <w:pStyle w:val="ListParagraph"/>
        <w:numPr>
          <w:ilvl w:val="0"/>
          <w:numId w:val="2"/>
        </w:numPr>
        <w:spacing w:after="100"/>
      </w:pPr>
      <w:r>
        <w:rPr>
          <w:b/>
          <w:bCs/>
        </w:rPr>
        <w:t xml:space="preserve">PayPhone ya integrado y probado</w:t>
      </w:r>
      <w:r>
        <w:t xml:space="preserve"> (`PayPhoneServiceTest`) para el pago de casilleros.</w:t>
      </w:r>
    </w:p>
    <w:p>
      <w:pPr>
        <w:pStyle w:val="ListParagraph"/>
        <w:numPr>
          <w:ilvl w:val="0"/>
          <w:numId w:val="2"/>
        </w:numPr>
        <w:spacing w:after="100"/>
      </w:pPr>
      <w:r>
        <w:t xml:space="preserve">Autenticación </w:t>
      </w:r>
      <w:r>
        <w:rPr>
          <w:b/>
          <w:bCs/>
        </w:rPr>
        <w:t xml:space="preserve">nativa</w:t>
      </w:r>
      <w:r>
        <w:t xml:space="preserve"> (Spring Security + BCrypt) + login social Google/GitHub — el equipo evaluó Logto/Keycloak y los </w:t>
      </w:r>
      <w:r>
        <w:rPr>
          <w:b/>
          <w:bCs/>
        </w:rPr>
        <w:t xml:space="preserve">descartó explícitamente</w:t>
      </w:r>
      <w:r>
        <w:t xml:space="preserve"> por latencia del redirect OIDC en wifi universitaria inestable y costo operativo de mantener un IdP aparte.</w:t>
      </w:r>
    </w:p>
    <w:p>
      <w:pPr>
        <w:pStyle w:val="ListParagraph"/>
        <w:numPr>
          <w:ilvl w:val="0"/>
          <w:numId w:val="2"/>
        </w:numPr>
        <w:spacing w:after="100"/>
      </w:pPr>
      <w:r>
        <w:t xml:space="preserve">Diseño ya hecho para un módulo de </w:t>
      </w:r>
      <w:r>
        <w:rPr>
          <w:b/>
          <w:bCs/>
        </w:rPr>
        <w:t xml:space="preserve">descuentos en negocios aliados</w:t>
      </w:r>
      <w:r>
        <w:t xml:space="preserve"> y un </w:t>
      </w:r>
      <w:r>
        <w:rPr>
          <w:b/>
          <w:bCs/>
        </w:rPr>
        <w:t xml:space="preserve">marketplace de emprendimientos</w:t>
      </w:r>
      <w:r>
        <w:t xml:space="preserve"> (vitrina + contacto WhatsApp, sin chat propio) — prácticamente idéntico a lo que se pide como "Aportaciones" y "Emprendimientos" en AEIS-APP.</w:t>
      </w:r>
    </w:p>
    <w:p>
      <w:pPr>
        <w:pStyle w:val="ListParagraph"/>
        <w:numPr>
          <w:ilvl w:val="0"/>
          <w:numId w:val="2"/>
        </w:numPr>
        <w:spacing w:after="100"/>
      </w:pPr>
      <w:r>
        <w:t xml:space="preserve">Notificaciones, carnet estudiantil digital con QR, PWA/Service Worker ya diseñados o implementados.</w:t>
      </w:r>
    </w:p>
    <w:p>
      <w:pPr>
        <w:spacing w:after="160"/>
      </w:pPr>
      <w:r>
        <w:rPr>
          <w:b/>
          <w:bCs/>
        </w:rPr>
        <w:t xml:space="preserve">Decisión del sponsor:</w:t>
      </w:r>
      <w:r>
        <w:t xml:space="preserve"> `aeis-app` fue el proyecto académico de clase; AEIS-APP inicia una </w:t>
      </w:r>
      <w:r>
        <w:rPr>
          <w:b/>
          <w:bCs/>
        </w:rPr>
        <w:t xml:space="preserve">migración del backend a NestJS</w:t>
      </w:r>
      <w:r>
        <w:t xml:space="preserve">, para trabajar con </w:t>
      </w:r>
      <w:r>
        <w:rPr>
          <w:b/>
          <w:bCs/>
        </w:rPr>
        <w:t xml:space="preserve">Logto</w:t>
      </w:r>
      <w:r>
        <w:t xml:space="preserve"> (divergencia deliberada de la decisión previa del equipo) y para abstraer los dominios correctamente pensando en </w:t>
      </w:r>
      <w:r>
        <w:rPr>
          <w:b/>
          <w:bCs/>
        </w:rPr>
        <w:t xml:space="preserve">concurrencia real a escala de ~1000 estudiantes</w:t>
      </w:r>
      <w:r>
        <w:t xml:space="preserve"> (evitar condiciones de carrera: doble-reserva del mismo casillero, doble-cobro).</w:t>
      </w:r>
    </w:p>
    <w:p>
      <w:pPr>
        <w:spacing w:after="160"/>
      </w:pPr>
      <w:r>
        <w:rPr>
          <w:b/>
          <w:bCs/>
        </w:rPr>
        <w:t xml:space="preserve">Implicación práctica:</w:t>
      </w:r>
      <w:r>
        <w:t xml:space="preserve"> las reglas de negocio ya validadas en `aeis-app` (cálculo de renta de casillero, ciclo de vida de periodo, diseño de marketplace/WhatsApp, diseño de descuentos) son insumo directo a reutilizar, no partir de cero — lo que cambia es la plataforma técnica y el proveedor de identidad, no necesariamente la lógica de dominio.</w:t>
      </w:r>
    </w:p>
    <w:p>
      <w:pPr>
        <w:spacing w:after="120"/>
      </w:pPr>
    </w:p>
    <w:p>
      <w:pPr>
        <w:pStyle w:val="Heading2"/>
        <w:spacing w:after="160" w:before="280"/>
      </w:pPr>
      <w:r>
        <w:rPr>
          <w:b/>
          <w:bCs/>
          <w:color w:val="0f6a52"/>
          <w:sz w:val="26"/>
          <w:szCs w:val="26"/>
        </w:rPr>
        <w:t xml:space="preserve">2.1 Organización y contexto</w:t>
      </w:r>
    </w:p>
    <w:p>
      <w:pPr>
        <w:spacing w:after="160"/>
      </w:pPr>
      <w:r>
        <w:rPr>
          <w:b/>
          <w:bCs/>
        </w:rPr>
        <w:t xml:space="preserve">AEIS</w:t>
      </w:r>
      <w:r>
        <w:t xml:space="preserve"> — asociación estudiantil sin fines de lucro, con sede en la Escuela Politécnica Nacional (EPN, Quito, Ecuador), para estudiantes de la carrera de Sistemas. La asociación ya opera hoy: gestiona un servicio real de alquiler de casilleros para sus miembros.</w:t>
      </w:r>
    </w:p>
    <w:p>
      <w:pPr>
        <w:spacing w:after="120"/>
      </w:pPr>
    </w:p>
    <w:p>
      <w:pPr>
        <w:pStyle w:val="Heading2"/>
        <w:spacing w:after="160" w:before="280"/>
      </w:pPr>
      <w:r>
        <w:rPr>
          <w:b/>
          <w:bCs/>
          <w:color w:val="0f6a52"/>
          <w:sz w:val="26"/>
          <w:szCs w:val="26"/>
        </w:rPr>
        <w:t xml:space="preserve">2.2 Problema de negocio / oportunidad</w:t>
      </w:r>
    </w:p>
    <w:p>
      <w:pPr>
        <w:spacing w:after="160"/>
      </w:pPr>
      <w:r>
        <w:rPr>
          <w:b/>
          <w:bCs/>
        </w:rPr>
        <w:t xml:space="preserve">Proceso actual (manual):</w:t>
      </w:r>
    </w:p>
    <w:p>
      <w:pPr>
        <w:pStyle w:val="ListParagraph"/>
        <w:numPr>
          <w:ilvl w:val="0"/>
          <w:numId w:val="2"/>
        </w:numPr>
        <w:spacing w:after="100"/>
      </w:pPr>
      <w:r>
        <w:t xml:space="preserve">El estudiante llena un Google Forms indicando: número único de estudiante, el casillero que desea, y evidencia de la transferencia bancaria del pago.</w:t>
      </w:r>
    </w:p>
    <w:p>
      <w:pPr>
        <w:pStyle w:val="ListParagraph"/>
        <w:numPr>
          <w:ilvl w:val="0"/>
          <w:numId w:val="2"/>
        </w:numPr>
        <w:spacing w:after="100"/>
      </w:pPr>
      <w:r>
        <w:t xml:space="preserve">La verificación de pago y asignación de casillero se hace manualmente.</w:t>
      </w:r>
    </w:p>
    <w:p>
      <w:pPr>
        <w:pStyle w:val="ListParagraph"/>
        <w:numPr>
          <w:ilvl w:val="0"/>
          <w:numId w:val="2"/>
        </w:numPr>
        <w:spacing w:after="100"/>
      </w:pPr>
      <w:r>
        <w:t xml:space="preserve">No existe analítica de datos sobre el proceso (ocupación, ingresos, tendencias).</w:t>
      </w:r>
    </w:p>
    <w:p>
      <w:pPr>
        <w:spacing w:after="160"/>
      </w:pPr>
      <w:r>
        <w:rPr>
          <w:b/>
          <w:bCs/>
        </w:rPr>
        <w:t xml:space="preserve">Oportunidad:</w:t>
      </w:r>
      <w:r>
        <w:t xml:space="preserve"> automatizar el ciclo completo de alquiler (selección → pago → asignación → contrato) y generar analítica de datos para la directiva.</w:t>
      </w:r>
    </w:p>
    <w:p>
      <w:pPr>
        <w:pStyle w:val="Heading3"/>
        <w:spacing w:after="120" w:before="220"/>
      </w:pPr>
      <w:r>
        <w:rPr>
          <w:b/>
          <w:bCs/>
          <w:sz w:val="23"/>
          <w:szCs w:val="23"/>
        </w:rPr>
        <w:t xml:space="preserve">2.2.1 Hallazgo de negocio: el proceso manual no da trazabilidad financiera confiable</w:t>
      </w:r>
    </w:p>
    <w:p>
      <w:pPr>
        <w:spacing w:after="160"/>
      </w:pPr>
      <w:r>
        <w:t xml:space="preserve">Al tratar de conciliar las cifras de ingreso de casilleros, el sponsor aclaró que de </w:t>
      </w:r>
      <w:r>
        <w:rPr>
          <w:b/>
          <w:bCs/>
        </w:rPr>
        <w:t xml:space="preserve">277 registros</w:t>
      </w:r>
      <w:r>
        <w:t xml:space="preserve"> del proceso de alquiler solo </w:t>
      </w:r>
      <w:r>
        <w:rPr>
          <w:b/>
          <w:bCs/>
        </w:rPr>
        <w:t xml:space="preserve">91 corresponden a casilleros efectivamente alquilados</w:t>
      </w:r>
      <w:r>
        <w:t xml:space="preserve">, y que existe un </w:t>
      </w:r>
      <w:r>
        <w:rPr>
          <w:b/>
          <w:bCs/>
        </w:rPr>
        <w:t xml:space="preserve">déficit de caja</w:t>
      </w:r>
      <w:r>
        <w:t xml:space="preserve"> cuyo origen la directiva no tiene claro — no se descarta manejo indebido de fondos ni error operativo, y hoy no hay forma sistemática de distinguir entre ambos casos con el proceso manual actual (Forms + comprobante suelto).</w:t>
      </w:r>
    </w:p>
    <w:p>
      <w:pPr>
        <w:spacing w:after="160"/>
      </w:pPr>
      <w:r>
        <w:t xml:space="preserve">Esto </w:t>
      </w:r>
      <w:r>
        <w:rPr>
          <w:b/>
          <w:bCs/>
        </w:rPr>
        <w:t xml:space="preserve">eleva la prioridad</w:t>
      </w:r>
      <w:r>
        <w:t xml:space="preserve"> de un requisito que antes se trataba como "nice to have" (analítica): el sistema debe dejar un </w:t>
      </w:r>
      <w:r>
        <w:rPr>
          <w:b/>
          <w:bCs/>
        </w:rPr>
        <w:t xml:space="preserve">rastro de auditoría verificable</w:t>
      </w:r>
      <w:r>
        <w:t xml:space="preserve"> — quién registró qué, cuánto se cobró, cuándo, por qué medio, y quién lo confirmó — no solo un dashboard de métricas agregadas. Es, en la práctica, </w:t>
      </w:r>
      <w:r>
        <w:rPr>
          <w:b/>
          <w:bCs/>
        </w:rPr>
        <w:t xml:space="preserve">el driver de negocio más fuerte</w:t>
      </w:r>
      <w:r>
        <w:t xml:space="preserve"> para automatizar, más que la conveniencia de no usar un Forms.</w:t>
      </w:r>
    </w:p>
    <w:p>
      <w:pPr>
        <w:spacing w:after="120"/>
      </w:pPr>
    </w:p>
    <w:p>
      <w:pPr>
        <w:pStyle w:val="Heading2"/>
        <w:spacing w:after="160" w:before="280"/>
      </w:pPr>
      <w:r>
        <w:rPr>
          <w:b/>
          <w:bCs/>
          <w:color w:val="0f6a52"/>
          <w:sz w:val="26"/>
          <w:szCs w:val="26"/>
        </w:rPr>
        <w:t xml:space="preserve">2.3 Motivación del módulo de seguridad</w:t>
      </w:r>
    </w:p>
    <w:p>
      <w:pPr>
        <w:spacing w:after="160"/>
      </w:pPr>
      <w:r>
        <w:t xml:space="preserve">Se incorpora un módulo de seguridad (mapa + indicadores) por el contexto de inseguridad en Quito y un antecedente reciente mencionado por el sponsor relacionado con la seguridad de estudiantes. Este módulo ya tiene un prototipo frontend funcional con datos reales del Observatorio Metropolitano de Seguridad Ciudadana (DMQ, cierre 2025). Se registra únicamente como driver de negocio que justifica priorizar la seguridad percibida de los estudiantes como objetivo del producto.</w:t>
      </w:r>
    </w:p>
    <w:p>
      <w:pPr>
        <w:spacing w:after="120"/>
      </w:pPr>
    </w:p>
    <w:p>
      <w:pPr>
        <w:pStyle w:val="Heading2"/>
        <w:spacing w:after="160" w:before="280"/>
      </w:pPr>
      <w:r>
        <w:rPr>
          <w:b/>
          <w:bCs/>
          <w:color w:val="0f6a52"/>
          <w:sz w:val="26"/>
          <w:szCs w:val="26"/>
        </w:rPr>
        <w:t xml:space="preserve">2.4 Alcance de la solución</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2400"/>
        <w:gridCol w:w="5200"/>
        <w:gridCol w:w="1750"/>
      </w:tblGrid>
      <w:tr>
        <w:trPr>
          <w:tblHeader/>
        </w:trPr>
        <w:tc>
          <w:tcPr>
            <w:tcW w:type="dxa" w:w="2400"/>
            <w:shd w:fill="1c2f66" w:val="clear"/>
            <w:tcMar>
              <w:top w:type="dxa" w:w="80"/>
              <w:left w:type="dxa" w:w="100"/>
              <w:bottom w:type="dxa" w:w="80"/>
              <w:right w:type="dxa" w:w="100"/>
            </w:tcMar>
            <w:vAlign w:val="center"/>
          </w:tcPr>
          <w:p>
            <w:r>
              <w:rPr>
                <w:b/>
                <w:bCs/>
                <w:color w:val="FFFFFF"/>
                <w:sz w:val="19"/>
                <w:szCs w:val="19"/>
              </w:rPr>
              <w:t xml:space="preserve">Dominio</w:t>
            </w:r>
          </w:p>
        </w:tc>
        <w:tc>
          <w:tcPr>
            <w:tcW w:type="dxa" w:w="5200"/>
            <w:shd w:fill="1c2f66" w:val="clear"/>
            <w:tcMar>
              <w:top w:type="dxa" w:w="80"/>
              <w:left w:type="dxa" w:w="100"/>
              <w:bottom w:type="dxa" w:w="80"/>
              <w:right w:type="dxa" w:w="100"/>
            </w:tcMar>
            <w:vAlign w:val="center"/>
          </w:tcPr>
          <w:p>
            <w:r>
              <w:rPr>
                <w:b/>
                <w:bCs/>
                <w:color w:val="FFFFFF"/>
                <w:sz w:val="19"/>
                <w:szCs w:val="19"/>
              </w:rPr>
              <w:t xml:space="preserve">Descripción</w:t>
            </w:r>
          </w:p>
        </w:tc>
        <w:tc>
          <w:tcPr>
            <w:tcW w:type="dxa" w:w="1750"/>
            <w:shd w:fill="1c2f66" w:val="clear"/>
            <w:tcMar>
              <w:top w:type="dxa" w:w="80"/>
              <w:left w:type="dxa" w:w="100"/>
              <w:bottom w:type="dxa" w:w="80"/>
              <w:right w:type="dxa" w:w="100"/>
            </w:tcMar>
            <w:vAlign w:val="center"/>
          </w:tcPr>
          <w:p>
            <w:r>
              <w:rPr>
                <w:b/>
                <w:bCs/>
                <w:color w:val="FFFFFF"/>
                <w:sz w:val="19"/>
                <w:szCs w:val="19"/>
              </w:rPr>
              <w:t xml:space="preserve">Estado actual</w:t>
            </w:r>
          </w:p>
        </w:tc>
      </w:tr>
      <w:tr>
        <w:tc>
          <w:tcPr>
            <w:tcW w:type="dxa" w:w="2400"/>
            <w:tcMar>
              <w:top w:type="dxa" w:w="80"/>
              <w:left w:type="dxa" w:w="100"/>
              <w:bottom w:type="dxa" w:w="80"/>
              <w:right w:type="dxa" w:w="100"/>
            </w:tcMar>
            <w:vAlign w:val="center"/>
          </w:tcPr>
          <w:p>
            <w:r>
              <w:rPr>
                <w:b w:val="false"/>
                <w:bCs w:val="false"/>
                <w:sz w:val="19"/>
                <w:szCs w:val="19"/>
              </w:rPr>
              <w:t xml:space="preserve">Casilleros</w:t>
            </w:r>
          </w:p>
        </w:tc>
        <w:tc>
          <w:tcPr>
            <w:tcW w:type="dxa" w:w="5200"/>
            <w:tcMar>
              <w:top w:type="dxa" w:w="80"/>
              <w:left w:type="dxa" w:w="100"/>
              <w:bottom w:type="dxa" w:w="80"/>
              <w:right w:type="dxa" w:w="100"/>
            </w:tcMar>
            <w:vAlign w:val="center"/>
          </w:tcPr>
          <w:p>
            <w:r>
              <w:rPr>
                <w:b w:val="false"/>
                <w:bCs w:val="false"/>
                <w:sz w:val="19"/>
                <w:szCs w:val="19"/>
              </w:rPr>
              <w:t xml:space="preserve">Alquiler automatizado de 108 casilleros físicos, $6.50 base por semestre</w:t>
            </w:r>
          </w:p>
        </w:tc>
        <w:tc>
          <w:tcPr>
            <w:tcW w:type="dxa" w:w="1750"/>
            <w:tcMar>
              <w:top w:type="dxa" w:w="80"/>
              <w:left w:type="dxa" w:w="100"/>
              <w:bottom w:type="dxa" w:w="80"/>
              <w:right w:type="dxa" w:w="100"/>
            </w:tcMar>
            <w:vAlign w:val="center"/>
          </w:tcPr>
          <w:p>
            <w:r>
              <w:rPr>
                <w:b w:val="false"/>
                <w:bCs w:val="false"/>
                <w:sz w:val="19"/>
                <w:szCs w:val="19"/>
              </w:rPr>
              <w:t xml:space="preserve">Frontend prototipo (mock)</w:t>
            </w:r>
          </w:p>
        </w:tc>
      </w:tr>
      <w:tr>
        <w:tc>
          <w:tcPr>
            <w:tcW w:type="dxa" w:w="2400"/>
            <w:tcMar>
              <w:top w:type="dxa" w:w="80"/>
              <w:left w:type="dxa" w:w="100"/>
              <w:bottom w:type="dxa" w:w="80"/>
              <w:right w:type="dxa" w:w="100"/>
            </w:tcMar>
            <w:vAlign w:val="center"/>
          </w:tcPr>
          <w:p>
            <w:r>
              <w:rPr>
                <w:b w:val="false"/>
                <w:bCs w:val="false"/>
                <w:sz w:val="19"/>
                <w:szCs w:val="19"/>
              </w:rPr>
              <w:t xml:space="preserve">Aportaciones</w:t>
            </w:r>
          </w:p>
        </w:tc>
        <w:tc>
          <w:tcPr>
            <w:tcW w:type="dxa" w:w="5200"/>
            <w:tcMar>
              <w:top w:type="dxa" w:w="80"/>
              <w:left w:type="dxa" w:w="100"/>
              <w:bottom w:type="dxa" w:w="80"/>
              <w:right w:type="dxa" w:w="100"/>
            </w:tcMar>
            <w:vAlign w:val="center"/>
          </w:tcPr>
          <w:p>
            <w:r>
              <w:rPr>
                <w:b w:val="false"/>
                <w:bCs w:val="false"/>
                <w:sz w:val="19"/>
                <w:szCs w:val="19"/>
              </w:rPr>
              <w:t xml:space="preserve">Aportante recibe beneficios (descuento casillero, billar, PS4). Ya existe como categoría contable histórica sin app propia</w:t>
            </w:r>
          </w:p>
        </w:tc>
        <w:tc>
          <w:tcPr>
            <w:tcW w:type="dxa" w:w="1750"/>
            <w:tcMar>
              <w:top w:type="dxa" w:w="80"/>
              <w:left w:type="dxa" w:w="100"/>
              <w:bottom w:type="dxa" w:w="80"/>
              <w:right w:type="dxa" w:w="100"/>
            </w:tcMar>
            <w:vAlign w:val="center"/>
          </w:tcPr>
          <w:p>
            <w:r>
              <w:rPr>
                <w:b w:val="false"/>
                <w:bCs w:val="false"/>
                <w:sz w:val="19"/>
                <w:szCs w:val="19"/>
              </w:rPr>
              <w:t xml:space="preserve">A diseñar; tiers Bronce/Platino/Pantera confirmados, montos pendientes</w:t>
            </w:r>
          </w:p>
        </w:tc>
      </w:tr>
      <w:tr>
        <w:tc>
          <w:tcPr>
            <w:tcW w:type="dxa" w:w="2400"/>
            <w:tcMar>
              <w:top w:type="dxa" w:w="80"/>
              <w:left w:type="dxa" w:w="100"/>
              <w:bottom w:type="dxa" w:w="80"/>
              <w:right w:type="dxa" w:w="100"/>
            </w:tcMar>
            <w:vAlign w:val="center"/>
          </w:tcPr>
          <w:p>
            <w:r>
              <w:rPr>
                <w:b w:val="false"/>
                <w:bCs w:val="false"/>
                <w:sz w:val="19"/>
                <w:szCs w:val="19"/>
              </w:rPr>
              <w:t xml:space="preserve">Eventos</w:t>
            </w:r>
          </w:p>
        </w:tc>
        <w:tc>
          <w:tcPr>
            <w:tcW w:type="dxa" w:w="5200"/>
            <w:tcMar>
              <w:top w:type="dxa" w:w="80"/>
              <w:left w:type="dxa" w:w="100"/>
              <w:bottom w:type="dxa" w:w="80"/>
              <w:right w:type="dxa" w:w="100"/>
            </w:tcMar>
            <w:vAlign w:val="center"/>
          </w:tcPr>
          <w:p>
            <w:r>
              <w:rPr>
                <w:b w:val="false"/>
                <w:bCs w:val="false"/>
                <w:sz w:val="19"/>
                <w:szCs w:val="19"/>
              </w:rPr>
              <w:t xml:space="preserve">Calendario de actividades AEIS</w:t>
            </w:r>
          </w:p>
        </w:tc>
        <w:tc>
          <w:tcPr>
            <w:tcW w:type="dxa" w:w="1750"/>
            <w:tcMar>
              <w:top w:type="dxa" w:w="80"/>
              <w:left w:type="dxa" w:w="100"/>
              <w:bottom w:type="dxa" w:w="80"/>
              <w:right w:type="dxa" w:w="100"/>
            </w:tcMar>
            <w:vAlign w:val="center"/>
          </w:tcPr>
          <w:p>
            <w:r>
              <w:rPr>
                <w:b w:val="false"/>
                <w:bCs w:val="false"/>
                <w:sz w:val="19"/>
                <w:szCs w:val="19"/>
              </w:rPr>
              <w:t xml:space="preserve">Frontend prototipo (mock)</w:t>
            </w:r>
          </w:p>
        </w:tc>
      </w:tr>
      <w:tr>
        <w:tc>
          <w:tcPr>
            <w:tcW w:type="dxa" w:w="2400"/>
            <w:tcMar>
              <w:top w:type="dxa" w:w="80"/>
              <w:left w:type="dxa" w:w="100"/>
              <w:bottom w:type="dxa" w:w="80"/>
              <w:right w:type="dxa" w:w="100"/>
            </w:tcMar>
            <w:vAlign w:val="center"/>
          </w:tcPr>
          <w:p>
            <w:r>
              <w:rPr>
                <w:b w:val="false"/>
                <w:bCs w:val="false"/>
                <w:sz w:val="19"/>
                <w:szCs w:val="19"/>
              </w:rPr>
              <w:t xml:space="preserve">Recursos</w:t>
            </w:r>
          </w:p>
        </w:tc>
        <w:tc>
          <w:tcPr>
            <w:tcW w:type="dxa" w:w="5200"/>
            <w:tcMar>
              <w:top w:type="dxa" w:w="80"/>
              <w:left w:type="dxa" w:w="100"/>
              <w:bottom w:type="dxa" w:w="80"/>
              <w:right w:type="dxa" w:w="100"/>
            </w:tcMar>
            <w:vAlign w:val="center"/>
          </w:tcPr>
          <w:p>
            <w:r>
              <w:rPr>
                <w:b w:val="false"/>
                <w:bCs w:val="false"/>
                <w:sz w:val="19"/>
                <w:szCs w:val="19"/>
              </w:rPr>
              <w:t xml:space="preserve">Reserva de equipos/racks/kits</w:t>
            </w:r>
          </w:p>
        </w:tc>
        <w:tc>
          <w:tcPr>
            <w:tcW w:type="dxa" w:w="1750"/>
            <w:tcMar>
              <w:top w:type="dxa" w:w="80"/>
              <w:left w:type="dxa" w:w="100"/>
              <w:bottom w:type="dxa" w:w="80"/>
              <w:right w:type="dxa" w:w="100"/>
            </w:tcMar>
            <w:vAlign w:val="center"/>
          </w:tcPr>
          <w:p>
            <w:r>
              <w:rPr>
                <w:b w:val="false"/>
                <w:bCs w:val="false"/>
                <w:sz w:val="19"/>
                <w:szCs w:val="19"/>
              </w:rPr>
              <w:t xml:space="preserve">Frontend prototipo (mock)</w:t>
            </w:r>
          </w:p>
        </w:tc>
      </w:tr>
      <w:tr>
        <w:tc>
          <w:tcPr>
            <w:tcW w:type="dxa" w:w="2400"/>
            <w:tcMar>
              <w:top w:type="dxa" w:w="80"/>
              <w:left w:type="dxa" w:w="100"/>
              <w:bottom w:type="dxa" w:w="80"/>
              <w:right w:type="dxa" w:w="100"/>
            </w:tcMar>
            <w:vAlign w:val="center"/>
          </w:tcPr>
          <w:p>
            <w:r>
              <w:rPr>
                <w:b w:val="false"/>
                <w:bCs w:val="false"/>
                <w:sz w:val="19"/>
                <w:szCs w:val="19"/>
              </w:rPr>
              <w:t xml:space="preserve">Seguridad</w:t>
            </w:r>
          </w:p>
        </w:tc>
        <w:tc>
          <w:tcPr>
            <w:tcW w:type="dxa" w:w="5200"/>
            <w:tcMar>
              <w:top w:type="dxa" w:w="80"/>
              <w:left w:type="dxa" w:w="100"/>
              <w:bottom w:type="dxa" w:w="80"/>
              <w:right w:type="dxa" w:w="100"/>
            </w:tcMar>
            <w:vAlign w:val="center"/>
          </w:tcPr>
          <w:p>
            <w:r>
              <w:rPr>
                <w:b w:val="false"/>
                <w:bCs w:val="false"/>
                <w:sz w:val="19"/>
                <w:szCs w:val="19"/>
              </w:rPr>
              <w:t xml:space="preserve">Mapa + indicadores del campus/zona</w:t>
            </w:r>
          </w:p>
        </w:tc>
        <w:tc>
          <w:tcPr>
            <w:tcW w:type="dxa" w:w="1750"/>
            <w:tcMar>
              <w:top w:type="dxa" w:w="80"/>
              <w:left w:type="dxa" w:w="100"/>
              <w:bottom w:type="dxa" w:w="80"/>
              <w:right w:type="dxa" w:w="100"/>
            </w:tcMar>
            <w:vAlign w:val="center"/>
          </w:tcPr>
          <w:p>
            <w:r>
              <w:rPr>
                <w:b w:val="false"/>
                <w:bCs w:val="false"/>
                <w:sz w:val="19"/>
                <w:szCs w:val="19"/>
              </w:rPr>
              <w:t xml:space="preserve">Frontend con datos reales estáticos</w:t>
            </w:r>
          </w:p>
        </w:tc>
      </w:tr>
      <w:tr>
        <w:tc>
          <w:tcPr>
            <w:tcW w:type="dxa" w:w="2400"/>
            <w:tcMar>
              <w:top w:type="dxa" w:w="80"/>
              <w:left w:type="dxa" w:w="100"/>
              <w:bottom w:type="dxa" w:w="80"/>
              <w:right w:type="dxa" w:w="100"/>
            </w:tcMar>
            <w:vAlign w:val="center"/>
          </w:tcPr>
          <w:p>
            <w:r>
              <w:rPr>
                <w:b w:val="false"/>
                <w:bCs w:val="false"/>
                <w:sz w:val="19"/>
                <w:szCs w:val="19"/>
              </w:rPr>
              <w:t xml:space="preserve">Emprendimientos</w:t>
            </w:r>
          </w:p>
        </w:tc>
        <w:tc>
          <w:tcPr>
            <w:tcW w:type="dxa" w:w="5200"/>
            <w:tcMar>
              <w:top w:type="dxa" w:w="80"/>
              <w:left w:type="dxa" w:w="100"/>
              <w:bottom w:type="dxa" w:w="80"/>
              <w:right w:type="dxa" w:w="100"/>
            </w:tcMar>
            <w:vAlign w:val="center"/>
          </w:tcPr>
          <w:p>
            <w:r>
              <w:rPr>
                <w:b w:val="false"/>
                <w:bCs w:val="false"/>
                <w:sz w:val="19"/>
                <w:szCs w:val="19"/>
              </w:rPr>
              <w:t xml:space="preserve">Reemplaza "Comunidad": vitrina de emprendimientos politécnicos + contacto WhatsApp</w:t>
            </w:r>
          </w:p>
        </w:tc>
        <w:tc>
          <w:tcPr>
            <w:tcW w:type="dxa" w:w="1750"/>
            <w:tcMar>
              <w:top w:type="dxa" w:w="80"/>
              <w:left w:type="dxa" w:w="100"/>
              <w:bottom w:type="dxa" w:w="80"/>
              <w:right w:type="dxa" w:w="100"/>
            </w:tcMar>
            <w:vAlign w:val="center"/>
          </w:tcPr>
          <w:p>
            <w:r>
              <w:rPr>
                <w:b w:val="false"/>
                <w:bCs w:val="false"/>
                <w:sz w:val="19"/>
                <w:szCs w:val="19"/>
              </w:rPr>
              <w:t xml:space="preserve">A construir — diseño reutilizado de aeis-app</w:t>
            </w:r>
          </w:p>
        </w:tc>
      </w:tr>
      <w:tr>
        <w:tc>
          <w:tcPr>
            <w:tcW w:type="dxa" w:w="2400"/>
            <w:tcMar>
              <w:top w:type="dxa" w:w="80"/>
              <w:left w:type="dxa" w:w="100"/>
              <w:bottom w:type="dxa" w:w="80"/>
              <w:right w:type="dxa" w:w="100"/>
            </w:tcMar>
            <w:vAlign w:val="center"/>
          </w:tcPr>
          <w:p>
            <w:r>
              <w:rPr>
                <w:b w:val="false"/>
                <w:bCs w:val="false"/>
                <w:sz w:val="19"/>
                <w:szCs w:val="19"/>
              </w:rPr>
              <w:t xml:space="preserve">Analítica</w:t>
            </w:r>
          </w:p>
        </w:tc>
        <w:tc>
          <w:tcPr>
            <w:tcW w:type="dxa" w:w="5200"/>
            <w:tcMar>
              <w:top w:type="dxa" w:w="80"/>
              <w:left w:type="dxa" w:w="100"/>
              <w:bottom w:type="dxa" w:w="80"/>
              <w:right w:type="dxa" w:w="100"/>
            </w:tcMar>
            <w:vAlign w:val="center"/>
          </w:tcPr>
          <w:p>
            <w:r>
              <w:rPr>
                <w:b w:val="false"/>
                <w:bCs w:val="false"/>
                <w:sz w:val="19"/>
                <w:szCs w:val="19"/>
              </w:rPr>
              <w:t xml:space="preserve">Dashboard para Presidente / Director de Innovación y Vinculación</w:t>
            </w:r>
          </w:p>
        </w:tc>
        <w:tc>
          <w:tcPr>
            <w:tcW w:type="dxa" w:w="1750"/>
            <w:tcMar>
              <w:top w:type="dxa" w:w="80"/>
              <w:left w:type="dxa" w:w="100"/>
              <w:bottom w:type="dxa" w:w="80"/>
              <w:right w:type="dxa" w:w="100"/>
            </w:tcMar>
            <w:vAlign w:val="center"/>
          </w:tcPr>
          <w:p>
            <w:r>
              <w:rPr>
                <w:b w:val="false"/>
                <w:bCs w:val="false"/>
                <w:sz w:val="19"/>
                <w:szCs w:val="19"/>
              </w:rPr>
              <w:t xml:space="preserve">A diseñar</w:t>
            </w:r>
          </w:p>
        </w:tc>
      </w:tr>
    </w:tbl>
    <w:p>
      <w:pPr>
        <w:spacing w:after="120"/>
      </w:pPr>
    </w:p>
    <w:p>
      <w:pPr>
        <w:spacing w:after="160"/>
      </w:pPr>
      <w:r>
        <w:rPr>
          <w:b/>
          <w:bCs/>
        </w:rPr>
        <w:t xml:space="preserve">Cambio de alcance respecto al prototipo actual (resuelto):</w:t>
      </w:r>
      <w:r>
        <w:t xml:space="preserve"> "Comunidad" se reemplaza por "Emprendimientos": vitrina/directorio informativo con contacto vía WhatsApp (`wa.me`, click-to-chat), sin chat propio dentro de la app. Coincide casi al detalle con el módulo "Marketplace fase 1" ya diseñado en `aeis-app` — se reutiliza ese diseño.</w:t>
      </w:r>
    </w:p>
    <w:p>
      <w:pPr>
        <w:spacing w:after="120"/>
      </w:pPr>
    </w:p>
    <w:p>
      <w:pPr>
        <w:pStyle w:val="Heading2"/>
        <w:spacing w:after="160" w:before="280"/>
      </w:pPr>
      <w:r>
        <w:rPr>
          <w:b/>
          <w:bCs/>
          <w:color w:val="0f6a52"/>
          <w:sz w:val="26"/>
          <w:szCs w:val="26"/>
        </w:rPr>
        <w:t xml:space="preserve">2.5 Restricciones</w:t>
      </w:r>
    </w:p>
    <w:p>
      <w:pPr>
        <w:pStyle w:val="Heading3"/>
        <w:spacing w:after="120" w:before="220"/>
      </w:pPr>
      <w:r>
        <w:rPr>
          <w:b/>
          <w:bCs/>
          <w:sz w:val="23"/>
          <w:szCs w:val="23"/>
        </w:rPr>
        <w:t xml:space="preserve">Técnicas</w:t>
      </w:r>
    </w:p>
    <w:p>
      <w:pPr>
        <w:pStyle w:val="ListParagraph"/>
        <w:numPr>
          <w:ilvl w:val="0"/>
          <w:numId w:val="2"/>
        </w:numPr>
        <w:spacing w:after="100"/>
      </w:pPr>
      <w:r>
        <w:rPr>
          <w:b/>
          <w:bCs/>
        </w:rPr>
        <w:t xml:space="preserve">Autenticación:</w:t>
      </w:r>
      <w:r>
        <w:t xml:space="preserve"> Logto, con login por Google, GitHub, y credenciales propias (email/password).</w:t>
      </w:r>
    </w:p>
    <w:p>
      <w:pPr>
        <w:pStyle w:val="ListParagraph"/>
        <w:numPr>
          <w:ilvl w:val="0"/>
          <w:numId w:val="2"/>
        </w:numPr>
        <w:spacing w:after="100"/>
      </w:pPr>
      <w:r>
        <w:rPr>
          <w:b/>
          <w:bCs/>
        </w:rPr>
        <w:t xml:space="preserve">Backend:</w:t>
      </w:r>
      <w:r>
        <w:t xml:space="preserve"> NestJS, como monolito desacoplado (módulos internos separados, no microservicios) — prioriza mantenibilidad y auditabilidad por un equipo de una sola persona.</w:t>
      </w:r>
    </w:p>
    <w:p>
      <w:pPr>
        <w:pStyle w:val="ListParagraph"/>
        <w:numPr>
          <w:ilvl w:val="0"/>
          <w:numId w:val="2"/>
        </w:numPr>
        <w:spacing w:after="100"/>
      </w:pPr>
      <w:r>
        <w:rPr>
          <w:b/>
          <w:bCs/>
        </w:rPr>
        <w:t xml:space="preserve">Costo de infraestructura confirmado:</w:t>
      </w:r>
      <w:r>
        <w:t xml:space="preserve"> NestJS + Logto + DigitalOcean Droplet (2 vCPU/2 GB) ≈ </w:t>
      </w:r>
      <w:r>
        <w:rPr>
          <w:b/>
          <w:bCs/>
        </w:rPr>
        <w:t xml:space="preserve">USD 27.60/mes</w:t>
      </w:r>
      <w:r>
        <w:t xml:space="preserve"> (Droplet $18.00 + backups $3.60 + Spaces $5.00 + dominio $1.00 + Logto $0.00). Ver Sección 5.6 para el detalle del cálculo — esta cifra debe repetirse como output de costo en cada fase siguiente del proyecto.</w:t>
      </w:r>
    </w:p>
    <w:p>
      <w:pPr>
        <w:pStyle w:val="ListParagraph"/>
        <w:numPr>
          <w:ilvl w:val="0"/>
          <w:numId w:val="2"/>
        </w:numPr>
        <w:spacing w:after="100"/>
      </w:pPr>
      <w:r>
        <w:rPr>
          <w:b/>
          <w:bCs/>
        </w:rPr>
        <w:t xml:space="preserve">Frontend:</w:t>
      </w:r>
      <w:r>
        <w:t xml:space="preserve"> se mantiene Svelte 5 + Vite + MapLibre GL, con foco en que sea responsive/mobile-first.</w:t>
      </w:r>
    </w:p>
    <w:p>
      <w:pPr>
        <w:pStyle w:val="Heading3"/>
        <w:spacing w:after="120" w:before="220"/>
      </w:pPr>
      <w:r>
        <w:rPr>
          <w:b/>
          <w:bCs/>
          <w:sz w:val="23"/>
          <w:szCs w:val="23"/>
        </w:rPr>
        <w:t xml:space="preserve">Datos personales</w:t>
      </w:r>
    </w:p>
    <w:p>
      <w:pPr>
        <w:pStyle w:val="ListParagraph"/>
        <w:numPr>
          <w:ilvl w:val="0"/>
          <w:numId w:val="2"/>
        </w:numPr>
        <w:spacing w:after="100"/>
      </w:pPr>
      <w:r>
        <w:t xml:space="preserve">Datos sensibles a tratar: código único de estudiante y nombre real (contrato de alquiler).</w:t>
      </w:r>
    </w:p>
    <w:p>
      <w:pPr>
        <w:pStyle w:val="ListParagraph"/>
        <w:numPr>
          <w:ilvl w:val="0"/>
          <w:numId w:val="2"/>
        </w:numPr>
        <w:spacing w:after="100"/>
      </w:pPr>
      <w:r>
        <w:rPr>
          <w:b/>
          <w:bCs/>
        </w:rPr>
        <w:t xml:space="preserve">Nuevo:</w:t>
      </w:r>
      <w:r>
        <w:t xml:space="preserve"> el flujo de KYC incluye verificación biométrica facial (cédula/carné vs. selfie) vía </w:t>
      </w:r>
      <w:r>
        <w:rPr>
          <w:b/>
          <w:bCs/>
        </w:rPr>
        <w:t xml:space="preserve">CompreFace</w:t>
      </w:r>
      <w:r>
        <w:t xml:space="preserve"> (Exadel, open source, self-hosted) — añade una categoría de dato biométrico antes no contemplada.</w:t>
      </w:r>
    </w:p>
    <w:p>
      <w:pPr>
        <w:pStyle w:val="ListParagraph"/>
        <w:numPr>
          <w:ilvl w:val="0"/>
          <w:numId w:val="2"/>
        </w:numPr>
        <w:spacing w:after="100"/>
      </w:pPr>
      <w:r>
        <w:rPr>
          <w:b/>
          <w:bCs/>
        </w:rPr>
        <w:t xml:space="preserve">Contrato (resuelto):</w:t>
      </w:r>
      <w:r>
        <w:t xml:space="preserve"> clickwrap + KYC (checkbox + botón de aceptación), sin firma manuscrita ni firma electrónica certificada — amparado en la Ley de Comercio Electrónico, Firmas Electrónicas y Mensajes de Datos de Ecuador.</w:t>
      </w:r>
    </w:p>
    <w:p>
      <w:pPr>
        <w:pStyle w:val="ListParagraph"/>
        <w:numPr>
          <w:ilvl w:val="0"/>
          <w:numId w:val="2"/>
        </w:numPr>
        <w:spacing w:after="100"/>
      </w:pPr>
      <w:r>
        <w:t xml:space="preserve">Pendiente: marco regulatorio LOPDP (Ecuador) y tiempo de retención de datos, con mayor peso al sumarse datos biométricos.</w:t>
      </w:r>
    </w:p>
    <w:p>
      <w:pPr>
        <w:pStyle w:val="Heading3"/>
        <w:spacing w:after="120" w:before="220"/>
      </w:pPr>
      <w:r>
        <w:rPr>
          <w:b/>
          <w:bCs/>
          <w:sz w:val="23"/>
          <w:szCs w:val="23"/>
        </w:rPr>
        <w:t xml:space="preserve">Pago (resuelto)</w:t>
      </w:r>
    </w:p>
    <w:p>
      <w:pPr>
        <w:spacing w:after="160"/>
      </w:pPr>
      <w:r>
        <w:t xml:space="preserve">Se implementan </w:t>
      </w:r>
      <w:r>
        <w:rPr>
          <w:b/>
          <w:bCs/>
        </w:rPr>
        <w:t xml:space="preserve">ambos</w:t>
      </w:r>
      <w:r>
        <w:t xml:space="preserve"> métodos, no uno solo:</w:t>
      </w:r>
    </w:p>
    <w:p>
      <w:pPr>
        <w:pStyle w:val="ListParagraph"/>
        <w:numPr>
          <w:ilvl w:val="0"/>
          <w:numId w:val="2"/>
        </w:numPr>
        <w:spacing w:after="100"/>
      </w:pPr>
      <w:r>
        <w:rPr>
          <w:b/>
          <w:bCs/>
        </w:rPr>
        <w:t xml:space="preserve">PayPhone</w:t>
      </w:r>
      <w:r>
        <w:t xml:space="preserve"> (tarjeta) — reutilizando/portando `PayPhoneService`, ya implementado y probado en `aeis-app`, a NestJS.</w:t>
      </w:r>
    </w:p>
    <w:p>
      <w:pPr>
        <w:pStyle w:val="ListParagraph"/>
        <w:numPr>
          <w:ilvl w:val="0"/>
          <w:numId w:val="2"/>
        </w:numPr>
        <w:spacing w:after="100"/>
      </w:pPr>
      <w:r>
        <w:rPr>
          <w:b/>
          <w:bCs/>
        </w:rPr>
        <w:t xml:space="preserve">Transferencia + comprobante</w:t>
      </w:r>
      <w:r>
        <w:t xml:space="preserve"> (verificación asistida, candidato a OCR) — se mantiene porque una parte de los estudiantes desconfía de ingresar su tarjeta si perciben el sistema como inseguro.</w:t>
      </w:r>
    </w:p>
    <w:p>
      <w:pPr>
        <w:spacing w:after="120"/>
      </w:pPr>
    </w:p>
    <w:p>
      <w:pPr>
        <w:pStyle w:val="Heading2"/>
        <w:spacing w:after="160" w:before="280"/>
      </w:pPr>
      <w:r>
        <w:rPr>
          <w:b/>
          <w:bCs/>
          <w:color w:val="0f6a52"/>
          <w:sz w:val="26"/>
          <w:szCs w:val="26"/>
        </w:rPr>
        <w:t xml:space="preserve">2.6 Criterios de éxito preliminares</w:t>
      </w:r>
    </w:p>
    <w:p>
      <w:pPr>
        <w:pStyle w:val="ListParagraph"/>
        <w:numPr>
          <w:ilvl w:val="0"/>
          <w:numId w:val="2"/>
        </w:numPr>
        <w:spacing w:after="100"/>
      </w:pPr>
      <w:r>
        <w:rPr>
          <w:b/>
          <w:bCs/>
        </w:rPr>
        <w:t xml:space="preserve">Negocio (casilleros):</w:t>
      </w:r>
      <w:r>
        <w:t xml:space="preserve"> $277 no son dólares — es el conteo de registros del proceso de alquiler; de esos, 91 terminaron en casillero pagado y asignado (= $591.50 según dato provisto por la EPN). $702 = capacidad de UN semestre (108 × $6.50); techo anual real = $1,404 (2 semestres).</w:t>
      </w:r>
    </w:p>
    <w:p>
      <w:pPr>
        <w:pStyle w:val="ListParagraph"/>
        <w:numPr>
          <w:ilvl w:val="0"/>
          <w:numId w:val="2"/>
        </w:numPr>
        <w:spacing w:after="100"/>
      </w:pPr>
      <w:r>
        <w:rPr>
          <w:b/>
          <w:bCs/>
        </w:rPr>
        <w:t xml:space="preserve">Datos reales:</w:t>
      </w:r>
      <w:r>
        <w:t xml:space="preserve"> obtener analítica real de uso (no simulada) para la directiva.</w:t>
      </w:r>
    </w:p>
    <w:p>
      <w:pPr>
        <w:pStyle w:val="ListParagraph"/>
        <w:numPr>
          <w:ilvl w:val="0"/>
          <w:numId w:val="2"/>
        </w:numPr>
        <w:spacing w:after="100"/>
      </w:pPr>
      <w:r>
        <w:rPr>
          <w:b/>
          <w:bCs/>
        </w:rPr>
        <w:t xml:space="preserve">Adopción mínima:</w:t>
      </w:r>
      <w:r>
        <w:t xml:space="preserve"> al menos 10 visitas mensuales a la app ya se considera aceptable para el brief del proyecto.</w:t>
      </w:r>
    </w:p>
    <w:p>
      <w:pPr>
        <w:pStyle w:val="ListParagraph"/>
        <w:numPr>
          <w:ilvl w:val="0"/>
          <w:numId w:val="2"/>
        </w:numPr>
        <w:spacing w:after="100"/>
      </w:pPr>
      <w:r>
        <w:rPr>
          <w:b/>
          <w:bCs/>
        </w:rPr>
        <w:t xml:space="preserve">Rendimiento:</w:t>
      </w:r>
      <w:r>
        <w:t xml:space="preserve"> tiempos de respuesta aceptables incluso con internet lento.</w:t>
      </w:r>
    </w:p>
    <w:p>
      <w:pPr>
        <w:pStyle w:val="ListParagraph"/>
        <w:numPr>
          <w:ilvl w:val="0"/>
          <w:numId w:val="2"/>
        </w:numPr>
        <w:spacing w:after="100"/>
      </w:pPr>
      <w:r>
        <w:rPr>
          <w:b/>
          <w:bCs/>
        </w:rPr>
        <w:t xml:space="preserve">DevSecOps:</w:t>
      </w:r>
      <w:r>
        <w:t xml:space="preserve"> pipeline CI/CD con pocos incidentes, herramientas de auditoría apropiadas para un desarrollador único, desarrollo con enfoque en seguridad.</w:t>
      </w:r>
    </w:p>
    <w:p>
      <w:pPr>
        <w:spacing w:after="120"/>
      </w:pPr>
    </w:p>
    <w:p>
      <w:pPr>
        <w:pStyle w:val="Heading2"/>
        <w:spacing w:after="160" w:before="280"/>
      </w:pPr>
      <w:r>
        <w:rPr>
          <w:b/>
          <w:bCs/>
          <w:color w:val="0f6a52"/>
          <w:sz w:val="26"/>
          <w:szCs w:val="26"/>
        </w:rPr>
        <w:t xml:space="preserve">2.7 Stakeholders y permisos</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2600"/>
        <w:gridCol w:w="4150"/>
      </w:tblGrid>
      <w:tr>
        <w:trPr>
          <w:tblHeader/>
        </w:trPr>
        <w:tc>
          <w:tcPr>
            <w:tcW w:type="dxa" w:w="2600"/>
            <w:shd w:fill="1c2f66" w:val="clear"/>
            <w:tcMar>
              <w:top w:type="dxa" w:w="80"/>
              <w:left w:type="dxa" w:w="100"/>
              <w:bottom w:type="dxa" w:w="80"/>
              <w:right w:type="dxa" w:w="100"/>
            </w:tcMar>
            <w:vAlign w:val="center"/>
          </w:tcPr>
          <w:p>
            <w:r>
              <w:rPr>
                <w:b/>
                <w:bCs/>
                <w:color w:val="FFFFFF"/>
                <w:sz w:val="19"/>
                <w:szCs w:val="19"/>
              </w:rPr>
              <w:t xml:space="preserve">Rol</w:t>
            </w:r>
          </w:p>
        </w:tc>
        <w:tc>
          <w:tcPr>
            <w:tcW w:type="dxa" w:w="2600"/>
            <w:shd w:fill="1c2f66" w:val="clear"/>
            <w:tcMar>
              <w:top w:type="dxa" w:w="80"/>
              <w:left w:type="dxa" w:w="100"/>
              <w:bottom w:type="dxa" w:w="80"/>
              <w:right w:type="dxa" w:w="100"/>
            </w:tcMar>
            <w:vAlign w:val="center"/>
          </w:tcPr>
          <w:p>
            <w:r>
              <w:rPr>
                <w:b/>
                <w:bCs/>
                <w:color w:val="FFFFFF"/>
                <w:sz w:val="19"/>
                <w:szCs w:val="19"/>
              </w:rPr>
              <w:t xml:space="preserve">Quién</w:t>
            </w:r>
          </w:p>
        </w:tc>
        <w:tc>
          <w:tcPr>
            <w:tcW w:type="dxa" w:w="4150"/>
            <w:shd w:fill="1c2f66" w:val="clear"/>
            <w:tcMar>
              <w:top w:type="dxa" w:w="80"/>
              <w:left w:type="dxa" w:w="100"/>
              <w:bottom w:type="dxa" w:w="80"/>
              <w:right w:type="dxa" w:w="100"/>
            </w:tcMar>
            <w:vAlign w:val="center"/>
          </w:tcPr>
          <w:p>
            <w:r>
              <w:rPr>
                <w:b/>
                <w:bCs/>
                <w:color w:val="FFFFFF"/>
                <w:sz w:val="19"/>
                <w:szCs w:val="19"/>
              </w:rPr>
              <w:t xml:space="preserve">Permisos confirmados</w:t>
            </w:r>
          </w:p>
        </w:tc>
      </w:tr>
      <w:tr>
        <w:tc>
          <w:tcPr>
            <w:tcW w:type="dxa" w:w="2600"/>
            <w:tcMar>
              <w:top w:type="dxa" w:w="80"/>
              <w:left w:type="dxa" w:w="100"/>
              <w:bottom w:type="dxa" w:w="80"/>
              <w:right w:type="dxa" w:w="100"/>
            </w:tcMar>
            <w:vAlign w:val="center"/>
          </w:tcPr>
          <w:p>
            <w:r>
              <w:rPr>
                <w:b w:val="false"/>
                <w:bCs w:val="false"/>
                <w:sz w:val="19"/>
                <w:szCs w:val="19"/>
              </w:rPr>
              <w:t xml:space="preserve">Estudiante</w:t>
            </w:r>
          </w:p>
        </w:tc>
        <w:tc>
          <w:tcPr>
            <w:tcW w:type="dxa" w:w="2600"/>
            <w:tcMar>
              <w:top w:type="dxa" w:w="80"/>
              <w:left w:type="dxa" w:w="100"/>
              <w:bottom w:type="dxa" w:w="80"/>
              <w:right w:type="dxa" w:w="100"/>
            </w:tcMar>
            <w:vAlign w:val="center"/>
          </w:tcPr>
          <w:p>
            <w:r>
              <w:rPr>
                <w:b w:val="false"/>
                <w:bCs w:val="false"/>
                <w:sz w:val="19"/>
                <w:szCs w:val="19"/>
              </w:rPr>
              <w:t xml:space="preserve">Miembro EPN-Sistemas</w:t>
            </w:r>
          </w:p>
        </w:tc>
        <w:tc>
          <w:tcPr>
            <w:tcW w:type="dxa" w:w="4150"/>
            <w:tcMar>
              <w:top w:type="dxa" w:w="80"/>
              <w:left w:type="dxa" w:w="100"/>
              <w:bottom w:type="dxa" w:w="80"/>
              <w:right w:type="dxa" w:w="100"/>
            </w:tcMar>
            <w:vAlign w:val="center"/>
          </w:tcPr>
          <w:p>
            <w:r>
              <w:rPr>
                <w:b w:val="false"/>
                <w:bCs w:val="false"/>
                <w:sz w:val="19"/>
                <w:szCs w:val="19"/>
              </w:rPr>
              <w:t xml:space="preserve">Alquilar casillero, ver eventos/recursos/seguridad, ser aportante</w:t>
            </w:r>
          </w:p>
        </w:tc>
      </w:tr>
      <w:tr>
        <w:tc>
          <w:tcPr>
            <w:tcW w:type="dxa" w:w="2600"/>
            <w:tcMar>
              <w:top w:type="dxa" w:w="80"/>
              <w:left w:type="dxa" w:w="100"/>
              <w:bottom w:type="dxa" w:w="80"/>
              <w:right w:type="dxa" w:w="100"/>
            </w:tcMar>
            <w:vAlign w:val="center"/>
          </w:tcPr>
          <w:p>
            <w:r>
              <w:rPr>
                <w:b w:val="false"/>
                <w:bCs w:val="false"/>
                <w:sz w:val="19"/>
                <w:szCs w:val="19"/>
              </w:rPr>
              <w:t xml:space="preserve">Presidente AEIS</w:t>
            </w:r>
          </w:p>
        </w:tc>
        <w:tc>
          <w:tcPr>
            <w:tcW w:type="dxa" w:w="2600"/>
            <w:tcMar>
              <w:top w:type="dxa" w:w="80"/>
              <w:left w:type="dxa" w:w="100"/>
              <w:bottom w:type="dxa" w:w="80"/>
              <w:right w:type="dxa" w:w="100"/>
            </w:tcMar>
            <w:vAlign w:val="center"/>
          </w:tcPr>
          <w:p>
            <w:r>
              <w:rPr>
                <w:b w:val="false"/>
                <w:bCs w:val="false"/>
                <w:sz w:val="19"/>
                <w:szCs w:val="19"/>
              </w:rPr>
              <w:t xml:space="preserve">Directiva</w:t>
            </w:r>
          </w:p>
        </w:tc>
        <w:tc>
          <w:tcPr>
            <w:tcW w:type="dxa" w:w="4150"/>
            <w:tcMar>
              <w:top w:type="dxa" w:w="80"/>
              <w:left w:type="dxa" w:w="100"/>
              <w:bottom w:type="dxa" w:w="80"/>
              <w:right w:type="dxa" w:w="100"/>
            </w:tcMar>
            <w:vAlign w:val="center"/>
          </w:tcPr>
          <w:p>
            <w:r>
              <w:rPr>
                <w:b w:val="false"/>
                <w:bCs w:val="false"/>
                <w:sz w:val="19"/>
                <w:szCs w:val="19"/>
              </w:rPr>
              <w:t xml:space="preserve">Ver analítica de datos + crear usuarios</w:t>
            </w:r>
          </w:p>
        </w:tc>
      </w:tr>
      <w:tr>
        <w:tc>
          <w:tcPr>
            <w:tcW w:type="dxa" w:w="2600"/>
            <w:tcMar>
              <w:top w:type="dxa" w:w="80"/>
              <w:left w:type="dxa" w:w="100"/>
              <w:bottom w:type="dxa" w:w="80"/>
              <w:right w:type="dxa" w:w="100"/>
            </w:tcMar>
            <w:vAlign w:val="center"/>
          </w:tcPr>
          <w:p>
            <w:r>
              <w:rPr>
                <w:b w:val="false"/>
                <w:bCs w:val="false"/>
                <w:sz w:val="19"/>
                <w:szCs w:val="19"/>
              </w:rPr>
              <w:t xml:space="preserve">Director de Innovación y Vinculación</w:t>
            </w:r>
          </w:p>
        </w:tc>
        <w:tc>
          <w:tcPr>
            <w:tcW w:type="dxa" w:w="2600"/>
            <w:tcMar>
              <w:top w:type="dxa" w:w="80"/>
              <w:left w:type="dxa" w:w="100"/>
              <w:bottom w:type="dxa" w:w="80"/>
              <w:right w:type="dxa" w:w="100"/>
            </w:tcMar>
            <w:vAlign w:val="center"/>
          </w:tcPr>
          <w:p>
            <w:r>
              <w:rPr>
                <w:b w:val="false"/>
                <w:bCs w:val="false"/>
                <w:sz w:val="19"/>
                <w:szCs w:val="19"/>
              </w:rPr>
              <w:t xml:space="preserve">Directiva</w:t>
            </w:r>
          </w:p>
        </w:tc>
        <w:tc>
          <w:tcPr>
            <w:tcW w:type="dxa" w:w="4150"/>
            <w:tcMar>
              <w:top w:type="dxa" w:w="80"/>
              <w:left w:type="dxa" w:w="100"/>
              <w:bottom w:type="dxa" w:w="80"/>
              <w:right w:type="dxa" w:w="100"/>
            </w:tcMar>
            <w:vAlign w:val="center"/>
          </w:tcPr>
          <w:p>
            <w:r>
              <w:rPr>
                <w:b w:val="false"/>
                <w:bCs w:val="false"/>
                <w:sz w:val="19"/>
                <w:szCs w:val="19"/>
              </w:rPr>
              <w:t xml:space="preserve">Todo lo de Presidente + auditar seguridad (logs, tráfico, pipeline)</w:t>
            </w:r>
          </w:p>
        </w:tc>
      </w:tr>
      <w:tr>
        <w:tc>
          <w:tcPr>
            <w:tcW w:type="dxa" w:w="2600"/>
            <w:tcMar>
              <w:top w:type="dxa" w:w="80"/>
              <w:left w:type="dxa" w:w="100"/>
              <w:bottom w:type="dxa" w:w="80"/>
              <w:right w:type="dxa" w:w="100"/>
            </w:tcMar>
            <w:vAlign w:val="center"/>
          </w:tcPr>
          <w:p>
            <w:r>
              <w:rPr>
                <w:b w:val="false"/>
                <w:bCs w:val="false"/>
                <w:sz w:val="19"/>
                <w:szCs w:val="19"/>
              </w:rPr>
              <w:t xml:space="preserve">Administración</w:t>
            </w:r>
          </w:p>
        </w:tc>
        <w:tc>
          <w:tcPr>
            <w:tcW w:type="dxa" w:w="2600"/>
            <w:tcMar>
              <w:top w:type="dxa" w:w="80"/>
              <w:left w:type="dxa" w:w="100"/>
              <w:bottom w:type="dxa" w:w="80"/>
              <w:right w:type="dxa" w:w="100"/>
            </w:tcMar>
            <w:vAlign w:val="center"/>
          </w:tcPr>
          <w:p>
            <w:r>
              <w:rPr>
                <w:b w:val="false"/>
                <w:bCs w:val="false"/>
                <w:sz w:val="19"/>
                <w:szCs w:val="19"/>
              </w:rPr>
              <w:t xml:space="preserve">Por confirmar</w:t>
            </w:r>
          </w:p>
        </w:tc>
        <w:tc>
          <w:tcPr>
            <w:tcW w:type="dxa" w:w="4150"/>
            <w:tcMar>
              <w:top w:type="dxa" w:w="80"/>
              <w:left w:type="dxa" w:w="100"/>
              <w:bottom w:type="dxa" w:w="80"/>
              <w:right w:type="dxa" w:w="100"/>
            </w:tcMar>
            <w:vAlign w:val="center"/>
          </w:tcPr>
          <w:p>
            <w:r>
              <w:rPr>
                <w:b w:val="false"/>
                <w:bCs w:val="false"/>
                <w:sz w:val="19"/>
                <w:szCs w:val="19"/>
              </w:rPr>
              <w:t xml:space="preserve">Operación diaria del alquiler</w:t>
            </w:r>
          </w:p>
        </w:tc>
      </w:tr>
    </w:tbl>
    <w:p>
      <w:pPr>
        <w:spacing w:after="120"/>
      </w:pPr>
    </w:p>
    <w:p>
      <w:pPr>
        <w:spacing w:after="160"/>
      </w:pPr>
      <w:r>
        <w:t xml:space="preserve">Director tiene permisos </w:t>
      </w:r>
      <w:r>
        <w:rPr>
          <w:b/>
          <w:bCs/>
        </w:rPr>
        <w:t xml:space="preserve">estrictamente mayores</w:t>
      </w:r>
      <w:r>
        <w:t xml:space="preserve"> que Presidente. El modelo de roles en Logto no es plano — al menos 3 niveles: `estudiante`, `presidente`, `director` (con `director` ⊇ `presidente`).</w:t>
      </w:r>
    </w:p>
    <w:p>
      <w:pPr>
        <w:spacing w:after="120"/>
      </w:pPr>
    </w:p>
    <w:p>
      <w:pPr>
        <w:pStyle w:val="Heading2"/>
        <w:spacing w:after="160" w:before="280"/>
      </w:pPr>
      <w:r>
        <w:rPr>
          <w:b/>
          <w:bCs/>
          <w:color w:val="0f6a52"/>
          <w:sz w:val="26"/>
          <w:szCs w:val="26"/>
        </w:rPr>
        <w:t xml:space="preserve">2.8 Plazos y alcance temporal</w:t>
      </w:r>
    </w:p>
    <w:p>
      <w:pPr>
        <w:spacing w:after="160"/>
      </w:pPr>
      <w:r>
        <w:rPr>
          <w:b/>
          <w:bCs/>
        </w:rPr>
        <w:t xml:space="preserve">Fecha objetivo confirmada: 3 semanas.</w:t>
      </w:r>
      <w:r>
        <w:t xml:space="preserve"> El sponsor revisó explícitamente el "3-4 meses" del Project Charter del documento técnico externo (Sección 5) y lo descartó como desactualizado para esta iteración.</w:t>
      </w:r>
    </w:p>
    <w:p>
      <w:pPr>
        <w:spacing w:after="160"/>
      </w:pPr>
      <w:r>
        <w:rPr>
          <w:b/>
          <w:bCs/>
        </w:rPr>
        <w:t xml:space="preserve">Alcance confirmado:</w:t>
      </w:r>
      <w:r>
        <w:t xml:space="preserve"> todos los dominios (casilleros, aportaciones, emprendimientos, eventos, recursos, seguridad) caben en el plazo, porque buena parte de Eventos/Recursos/Emprendimientos es CRUD + listado informativo (menor esfuerzo relativo); el esfuerzo real se concentra en casilleros (pago dual, concurrencia) y en la migración de auth/backend.</w:t>
      </w:r>
    </w:p>
    <w:p>
      <w:pPr>
        <w:spacing w:after="120"/>
      </w:pPr>
    </w:p>
    <w:p>
      <w:pPr>
        <w:pStyle w:val="Heading2"/>
        <w:spacing w:after="160" w:before="280"/>
      </w:pPr>
      <w:r>
        <w:rPr>
          <w:b/>
          <w:bCs/>
          <w:color w:val="0f6a52"/>
          <w:sz w:val="26"/>
          <w:szCs w:val="26"/>
        </w:rPr>
        <w:t xml:space="preserve">2.9 Metodologías de desarrollo</w:t>
      </w:r>
    </w:p>
    <w:p>
      <w:pPr>
        <w:spacing w:after="160"/>
      </w:pPr>
      <w:r>
        <w:t xml:space="preserve">El sponsor pidió explícitamente </w:t>
      </w:r>
      <w:r>
        <w:rPr>
          <w:b/>
          <w:bCs/>
        </w:rPr>
        <w:t xml:space="preserve">BDD + TDD + SDD</w:t>
      </w:r>
      <w:r>
        <w:t xml:space="preserve">:</w:t>
      </w:r>
    </w:p>
    <w:p>
      <w:pPr>
        <w:pStyle w:val="ListParagraph"/>
        <w:numPr>
          <w:ilvl w:val="0"/>
          <w:numId w:val="2"/>
        </w:numPr>
        <w:spacing w:after="100"/>
      </w:pPr>
      <w:r>
        <w:rPr>
          <w:b/>
          <w:bCs/>
        </w:rPr>
        <w:t xml:space="preserve">BDD (Behavior-Driven Development):</w:t>
      </w:r>
      <w:r>
        <w:t xml:space="preserve"> especificar comportamiento en escenarios Given/When/Then antes de implementar.</w:t>
      </w:r>
    </w:p>
    <w:p>
      <w:pPr>
        <w:pStyle w:val="ListParagraph"/>
        <w:numPr>
          <w:ilvl w:val="0"/>
          <w:numId w:val="2"/>
        </w:numPr>
        <w:spacing w:after="100"/>
      </w:pPr>
      <w:r>
        <w:rPr>
          <w:b/>
          <w:bCs/>
        </w:rPr>
        <w:t xml:space="preserve">TDD (Test-Driven Development):</w:t>
      </w:r>
      <w:r>
        <w:t xml:space="preserve"> ya hay precedente directo en `aeis-app` (tests unitarios de `RentalCalculator`, `RentalValidator`, `LockerRentalService`).</w:t>
      </w:r>
    </w:p>
    <w:p>
      <w:pPr>
        <w:pStyle w:val="ListParagraph"/>
        <w:numPr>
          <w:ilvl w:val="0"/>
          <w:numId w:val="2"/>
        </w:numPr>
        <w:spacing w:after="100"/>
      </w:pPr>
      <w:r>
        <w:rPr>
          <w:b/>
          <w:bCs/>
        </w:rPr>
        <w:t xml:space="preserve">SDD — doble sentido:</w:t>
      </w:r>
      <w:r>
        <w:t xml:space="preserve"> Spec-Driven Development (especificar antes de generar código) + Security-Driven Development (seguridad como criterio de primer orden, evitando el OWASP Top 10).</w:t>
      </w:r>
    </w:p>
    <w:p>
      <w:pPr>
        <w:spacing w:after="120"/>
      </w:pPr>
    </w:p>
    <w:p>
      <w:pPr>
        <w:pStyle w:val="Heading2"/>
        <w:spacing w:after="160" w:before="280"/>
      </w:pPr>
      <w:r>
        <w:rPr>
          <w:b/>
          <w:bCs/>
          <w:color w:val="0f6a52"/>
          <w:sz w:val="26"/>
          <w:szCs w:val="26"/>
        </w:rPr>
        <w:t xml:space="preserve">2.10 Riesgos identificados</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3400"/>
        <w:gridCol w:w="1400"/>
        <w:gridCol w:w="4550"/>
      </w:tblGrid>
      <w:tr>
        <w:trPr>
          <w:tblHeader/>
        </w:trPr>
        <w:tc>
          <w:tcPr>
            <w:tcW w:type="dxa" w:w="3400"/>
            <w:shd w:fill="1c2f66" w:val="clear"/>
            <w:tcMar>
              <w:top w:type="dxa" w:w="80"/>
              <w:left w:type="dxa" w:w="100"/>
              <w:bottom w:type="dxa" w:w="80"/>
              <w:right w:type="dxa" w:w="100"/>
            </w:tcMar>
            <w:vAlign w:val="center"/>
          </w:tcPr>
          <w:p>
            <w:r>
              <w:rPr>
                <w:b/>
                <w:bCs/>
                <w:color w:val="FFFFFF"/>
                <w:sz w:val="19"/>
                <w:szCs w:val="19"/>
              </w:rPr>
              <w:t xml:space="preserve">Riesgo</w:t>
            </w:r>
          </w:p>
        </w:tc>
        <w:tc>
          <w:tcPr>
            <w:tcW w:type="dxa" w:w="1400"/>
            <w:shd w:fill="1c2f66" w:val="clear"/>
            <w:tcMar>
              <w:top w:type="dxa" w:w="80"/>
              <w:left w:type="dxa" w:w="100"/>
              <w:bottom w:type="dxa" w:w="80"/>
              <w:right w:type="dxa" w:w="100"/>
            </w:tcMar>
            <w:vAlign w:val="center"/>
          </w:tcPr>
          <w:p>
            <w:r>
              <w:rPr>
                <w:b/>
                <w:bCs/>
                <w:color w:val="FFFFFF"/>
                <w:sz w:val="19"/>
                <w:szCs w:val="19"/>
              </w:rPr>
              <w:t xml:space="preserve">Impacto</w:t>
            </w:r>
          </w:p>
        </w:tc>
        <w:tc>
          <w:tcPr>
            <w:tcW w:type="dxa" w:w="4550"/>
            <w:shd w:fill="1c2f66" w:val="clear"/>
            <w:tcMar>
              <w:top w:type="dxa" w:w="80"/>
              <w:left w:type="dxa" w:w="100"/>
              <w:bottom w:type="dxa" w:w="80"/>
              <w:right w:type="dxa" w:w="100"/>
            </w:tcMar>
            <w:vAlign w:val="center"/>
          </w:tcPr>
          <w:p>
            <w:r>
              <w:rPr>
                <w:b/>
                <w:bCs/>
                <w:color w:val="FFFFFF"/>
                <w:sz w:val="19"/>
                <w:szCs w:val="19"/>
              </w:rPr>
              <w:t xml:space="preserve">Nota</w:t>
            </w:r>
          </w:p>
        </w:tc>
      </w:tr>
      <w:tr>
        <w:tc>
          <w:tcPr>
            <w:tcW w:type="dxa" w:w="3400"/>
            <w:tcMar>
              <w:top w:type="dxa" w:w="80"/>
              <w:left w:type="dxa" w:w="100"/>
              <w:bottom w:type="dxa" w:w="80"/>
              <w:right w:type="dxa" w:w="100"/>
            </w:tcMar>
            <w:vAlign w:val="center"/>
          </w:tcPr>
          <w:p>
            <w:r>
              <w:rPr>
                <w:b w:val="false"/>
                <w:bCs w:val="false"/>
                <w:sz w:val="19"/>
                <w:szCs w:val="19"/>
              </w:rPr>
              <w:t xml:space="preserve">Alcance amplio vs. plazo de 3 semanas con un solo desarrollador</w:t>
            </w:r>
          </w:p>
        </w:tc>
        <w:tc>
          <w:tcPr>
            <w:tcW w:type="dxa" w:w="1400"/>
            <w:tcMar>
              <w:top w:type="dxa" w:w="80"/>
              <w:left w:type="dxa" w:w="100"/>
              <w:bottom w:type="dxa" w:w="80"/>
              <w:right w:type="dxa" w:w="100"/>
            </w:tcMar>
            <w:vAlign w:val="center"/>
          </w:tcPr>
          <w:p>
            <w:r>
              <w:rPr>
                <w:b w:val="false"/>
                <w:bCs w:val="false"/>
                <w:sz w:val="19"/>
                <w:szCs w:val="19"/>
              </w:rPr>
              <w:t xml:space="preserve">Alto</w:t>
            </w:r>
          </w:p>
        </w:tc>
        <w:tc>
          <w:tcPr>
            <w:tcW w:type="dxa" w:w="4550"/>
            <w:tcMar>
              <w:top w:type="dxa" w:w="80"/>
              <w:left w:type="dxa" w:w="100"/>
              <w:bottom w:type="dxa" w:w="80"/>
              <w:right w:type="dxa" w:w="100"/>
            </w:tcMar>
            <w:vAlign w:val="center"/>
          </w:tcPr>
          <w:p>
            <w:r>
              <w:rPr>
                <w:b w:val="false"/>
                <w:bCs w:val="false"/>
                <w:sz w:val="19"/>
                <w:szCs w:val="19"/>
              </w:rPr>
              <w:t xml:space="preserve">MVP estrictamente priorizado con MoSCoW (Sección 3.3)</w:t>
            </w:r>
          </w:p>
        </w:tc>
      </w:tr>
      <w:tr>
        <w:tc>
          <w:tcPr>
            <w:tcW w:type="dxa" w:w="3400"/>
            <w:tcMar>
              <w:top w:type="dxa" w:w="80"/>
              <w:left w:type="dxa" w:w="100"/>
              <w:bottom w:type="dxa" w:w="80"/>
              <w:right w:type="dxa" w:w="100"/>
            </w:tcMar>
            <w:vAlign w:val="center"/>
          </w:tcPr>
          <w:p>
            <w:r>
              <w:rPr>
                <w:b w:val="false"/>
                <w:bCs w:val="false"/>
                <w:sz w:val="19"/>
                <w:szCs w:val="19"/>
              </w:rPr>
              <w:t xml:space="preserve">Divergencia deliberada de la decisión previa del equipo (aeis-app descartó Logto)</w:t>
            </w:r>
          </w:p>
        </w:tc>
        <w:tc>
          <w:tcPr>
            <w:tcW w:type="dxa" w:w="1400"/>
            <w:tcMar>
              <w:top w:type="dxa" w:w="80"/>
              <w:left w:type="dxa" w:w="100"/>
              <w:bottom w:type="dxa" w:w="80"/>
              <w:right w:type="dxa" w:w="100"/>
            </w:tcMar>
            <w:vAlign w:val="center"/>
          </w:tcPr>
          <w:p>
            <w:r>
              <w:rPr>
                <w:b w:val="false"/>
                <w:bCs w:val="false"/>
                <w:sz w:val="19"/>
                <w:szCs w:val="19"/>
              </w:rPr>
              <w:t xml:space="preserve">Medio</w:t>
            </w:r>
          </w:p>
        </w:tc>
        <w:tc>
          <w:tcPr>
            <w:tcW w:type="dxa" w:w="4550"/>
            <w:tcMar>
              <w:top w:type="dxa" w:w="80"/>
              <w:left w:type="dxa" w:w="100"/>
              <w:bottom w:type="dxa" w:w="80"/>
              <w:right w:type="dxa" w:w="100"/>
            </w:tcMar>
            <w:vAlign w:val="center"/>
          </w:tcPr>
          <w:p>
            <w:r>
              <w:rPr>
                <w:b w:val="false"/>
                <w:bCs w:val="false"/>
                <w:sz w:val="19"/>
                <w:szCs w:val="19"/>
              </w:rPr>
              <w:t xml:space="preserve">Medir la latencia del redirect OIDC en wifi de campus una vez implementado</w:t>
            </w:r>
          </w:p>
        </w:tc>
      </w:tr>
      <w:tr>
        <w:tc>
          <w:tcPr>
            <w:tcW w:type="dxa" w:w="3400"/>
            <w:tcMar>
              <w:top w:type="dxa" w:w="80"/>
              <w:left w:type="dxa" w:w="100"/>
              <w:bottom w:type="dxa" w:w="80"/>
              <w:right w:type="dxa" w:w="100"/>
            </w:tcMar>
            <w:vAlign w:val="center"/>
          </w:tcPr>
          <w:p>
            <w:r>
              <w:rPr>
                <w:b w:val="false"/>
                <w:bCs w:val="false"/>
                <w:sz w:val="19"/>
                <w:szCs w:val="19"/>
              </w:rPr>
              <w:t xml:space="preserve">Datos personales sensibles sin marco de retención definido</w:t>
            </w:r>
          </w:p>
        </w:tc>
        <w:tc>
          <w:tcPr>
            <w:tcW w:type="dxa" w:w="1400"/>
            <w:tcMar>
              <w:top w:type="dxa" w:w="80"/>
              <w:left w:type="dxa" w:w="100"/>
              <w:bottom w:type="dxa" w:w="80"/>
              <w:right w:type="dxa" w:w="100"/>
            </w:tcMar>
            <w:vAlign w:val="center"/>
          </w:tcPr>
          <w:p>
            <w:r>
              <w:rPr>
                <w:b w:val="false"/>
                <w:bCs w:val="false"/>
                <w:sz w:val="19"/>
                <w:szCs w:val="19"/>
              </w:rPr>
              <w:t xml:space="preserve">Medio-Alto</w:t>
            </w:r>
          </w:p>
        </w:tc>
        <w:tc>
          <w:tcPr>
            <w:tcW w:type="dxa" w:w="4550"/>
            <w:tcMar>
              <w:top w:type="dxa" w:w="80"/>
              <w:left w:type="dxa" w:w="100"/>
              <w:bottom w:type="dxa" w:w="80"/>
              <w:right w:type="dxa" w:w="100"/>
            </w:tcMar>
            <w:vAlign w:val="center"/>
          </w:tcPr>
          <w:p>
            <w:r>
              <w:rPr>
                <w:b w:val="false"/>
                <w:bCs w:val="false"/>
                <w:sz w:val="19"/>
                <w:szCs w:val="19"/>
              </w:rPr>
              <w:t xml:space="preserve">Revisar antes de implementar persistencia; aeis-app ya identificó riesgo similar con la cédula como PK</w:t>
            </w:r>
          </w:p>
        </w:tc>
      </w:tr>
      <w:tr>
        <w:tc>
          <w:tcPr>
            <w:tcW w:type="dxa" w:w="3400"/>
            <w:tcMar>
              <w:top w:type="dxa" w:w="80"/>
              <w:left w:type="dxa" w:w="100"/>
              <w:bottom w:type="dxa" w:w="80"/>
              <w:right w:type="dxa" w:w="100"/>
            </w:tcMar>
            <w:vAlign w:val="center"/>
          </w:tcPr>
          <w:p>
            <w:r>
              <w:rPr>
                <w:b w:val="false"/>
                <w:bCs w:val="false"/>
                <w:sz w:val="19"/>
                <w:szCs w:val="19"/>
              </w:rPr>
              <w:t xml:space="preserve">Concurrencia a ~1000 estudiantes (doble-reserva, doble-cobro)</w:t>
            </w:r>
          </w:p>
        </w:tc>
        <w:tc>
          <w:tcPr>
            <w:tcW w:type="dxa" w:w="1400"/>
            <w:tcMar>
              <w:top w:type="dxa" w:w="80"/>
              <w:left w:type="dxa" w:w="100"/>
              <w:bottom w:type="dxa" w:w="80"/>
              <w:right w:type="dxa" w:w="100"/>
            </w:tcMar>
            <w:vAlign w:val="center"/>
          </w:tcPr>
          <w:p>
            <w:r>
              <w:rPr>
                <w:b w:val="false"/>
                <w:bCs w:val="false"/>
                <w:sz w:val="19"/>
                <w:szCs w:val="19"/>
              </w:rPr>
              <w:t xml:space="preserve">Alto</w:t>
            </w:r>
          </w:p>
        </w:tc>
        <w:tc>
          <w:tcPr>
            <w:tcW w:type="dxa" w:w="4550"/>
            <w:tcMar>
              <w:top w:type="dxa" w:w="80"/>
              <w:left w:type="dxa" w:w="100"/>
              <w:bottom w:type="dxa" w:w="80"/>
              <w:right w:type="dxa" w:w="100"/>
            </w:tcMar>
            <w:vAlign w:val="center"/>
          </w:tcPr>
          <w:p>
            <w:r>
              <w:rPr>
                <w:b w:val="false"/>
                <w:bCs w:val="false"/>
                <w:sz w:val="19"/>
                <w:szCs w:val="19"/>
              </w:rPr>
              <w:t xml:space="preserve">Requiere transacciones/locking optimista explícito en la Arquitectura</w:t>
            </w:r>
          </w:p>
        </w:tc>
      </w:tr>
      <w:tr>
        <w:tc>
          <w:tcPr>
            <w:tcW w:type="dxa" w:w="3400"/>
            <w:tcMar>
              <w:top w:type="dxa" w:w="80"/>
              <w:left w:type="dxa" w:w="100"/>
              <w:bottom w:type="dxa" w:w="80"/>
              <w:right w:type="dxa" w:w="100"/>
            </w:tcMar>
            <w:vAlign w:val="center"/>
          </w:tcPr>
          <w:p>
            <w:r>
              <w:rPr>
                <w:b w:val="false"/>
                <w:bCs w:val="false"/>
                <w:sz w:val="19"/>
                <w:szCs w:val="19"/>
              </w:rPr>
              <w:t xml:space="preserve">Déficit histórico real: 2025-B cerró con balance -$1,864.30</w:t>
            </w:r>
          </w:p>
        </w:tc>
        <w:tc>
          <w:tcPr>
            <w:tcW w:type="dxa" w:w="1400"/>
            <w:tcMar>
              <w:top w:type="dxa" w:w="80"/>
              <w:left w:type="dxa" w:w="100"/>
              <w:bottom w:type="dxa" w:w="80"/>
              <w:right w:type="dxa" w:w="100"/>
            </w:tcMar>
            <w:vAlign w:val="center"/>
          </w:tcPr>
          <w:p>
            <w:r>
              <w:rPr>
                <w:b w:val="false"/>
                <w:bCs w:val="false"/>
                <w:sz w:val="19"/>
                <w:szCs w:val="19"/>
              </w:rPr>
              <w:t xml:space="preserve">Medio</w:t>
            </w:r>
          </w:p>
        </w:tc>
        <w:tc>
          <w:tcPr>
            <w:tcW w:type="dxa" w:w="4550"/>
            <w:tcMar>
              <w:top w:type="dxa" w:w="80"/>
              <w:left w:type="dxa" w:w="100"/>
              <w:bottom w:type="dxa" w:w="80"/>
              <w:right w:type="dxa" w:w="100"/>
            </w:tcMar>
            <w:vAlign w:val="center"/>
          </w:tcPr>
          <w:p>
            <w:r>
              <w:rPr>
                <w:b w:val="false"/>
                <w:bCs w:val="false"/>
                <w:sz w:val="19"/>
                <w:szCs w:val="19"/>
              </w:rPr>
              <w:t xml:space="preserve">Refuerza la importancia del pricing y de que el dashboard de analítica sea confiable</w:t>
            </w:r>
          </w:p>
        </w:tc>
      </w:tr>
    </w:tbl>
    <w:p>
      <w:pPr>
        <w:spacing w:after="120"/>
      </w:pPr>
    </w:p>
    <w:p>
      <w:r>
        <w:br w:type="page"/>
      </w:r>
    </w:p>
    <w:p>
      <w:pPr>
        <w:pStyle w:val="Heading1"/>
        <w:spacing w:after="200" w:before="360"/>
      </w:pPr>
      <w:r>
        <w:rPr>
          <w:b/>
          <w:bCs/>
          <w:color w:val="1c2f66"/>
          <w:sz w:val="32"/>
          <w:szCs w:val="32"/>
        </w:rPr>
        <w:t xml:space="preserve">3. Necesidades y Requisitos de Stakeholders (Stakeholder Needs and Requirements Definition)</w:t>
      </w:r>
    </w:p>
    <w:p>
      <w:pPr>
        <w:spacing w:after="160"/>
      </w:pPr>
      <w:r>
        <w:t xml:space="preserve">Propósito del proceso (ISO 12207): transformar la perspectiva de los stakeholders sobre el problema (definido en la Sección 2) en un conjunto de necesidades y requisitos deseados, con sus prioridades y restricciones.</w:t>
      </w:r>
    </w:p>
    <w:p>
      <w:pPr>
        <w:spacing w:after="120"/>
      </w:pPr>
    </w:p>
    <w:p>
      <w:pPr>
        <w:pStyle w:val="Heading2"/>
        <w:spacing w:after="160" w:before="280"/>
      </w:pPr>
      <w:r>
        <w:rPr>
          <w:b/>
          <w:bCs/>
          <w:color w:val="0f6a52"/>
          <w:sz w:val="26"/>
          <w:szCs w:val="26"/>
        </w:rPr>
        <w:t xml:space="preserve">3.1 Necesidades por dominio funcional</w:t>
      </w:r>
    </w:p>
    <w:p>
      <w:pPr>
        <w:pStyle w:val="Heading3"/>
        <w:spacing w:after="120" w:before="220"/>
      </w:pPr>
      <w:r>
        <w:rPr>
          <w:b/>
          <w:bCs/>
          <w:sz w:val="23"/>
          <w:szCs w:val="23"/>
        </w:rPr>
        <w:t xml:space="preserve">3.1.1 Casilleros</w:t>
      </w:r>
    </w:p>
    <w:p>
      <w:pPr>
        <w:pStyle w:val="ListParagraph"/>
        <w:numPr>
          <w:ilvl w:val="0"/>
          <w:numId w:val="2"/>
        </w:numPr>
        <w:spacing w:after="100"/>
      </w:pPr>
      <w:r>
        <w:t xml:space="preserve">Como </w:t>
      </w:r>
      <w:r>
        <w:rPr>
          <w:b/>
          <w:bCs/>
        </w:rPr>
        <w:t xml:space="preserve">estudiante</w:t>
      </w:r>
      <w:r>
        <w:t xml:space="preserve">, quiero ver disponibilidad real de los 108 casilleros y alquilar uno sin llenar un Forms externo.</w:t>
      </w:r>
    </w:p>
    <w:p>
      <w:pPr>
        <w:pStyle w:val="ListParagraph"/>
        <w:numPr>
          <w:ilvl w:val="0"/>
          <w:numId w:val="2"/>
        </w:numPr>
        <w:spacing w:after="100"/>
      </w:pPr>
      <w:r>
        <w:t xml:space="preserve">Como </w:t>
      </w:r>
      <w:r>
        <w:rPr>
          <w:b/>
          <w:bCs/>
        </w:rPr>
        <w:t xml:space="preserve">estudiante</w:t>
      </w:r>
      <w:r>
        <w:t xml:space="preserve">, quiero ver el precio vigente del semestre según el método de pago: $6.50 transferencia+comprobante / $6.90 PayPhone (tarjeta).</w:t>
      </w:r>
    </w:p>
    <w:p>
      <w:pPr>
        <w:pStyle w:val="ListParagraph"/>
        <w:numPr>
          <w:ilvl w:val="0"/>
          <w:numId w:val="2"/>
        </w:numPr>
        <w:spacing w:after="100"/>
      </w:pPr>
      <w:r>
        <w:t xml:space="preserve">Como </w:t>
      </w:r>
      <w:r>
        <w:rPr>
          <w:b/>
          <w:bCs/>
        </w:rPr>
        <w:t xml:space="preserve">estudiante</w:t>
      </w:r>
      <w:r>
        <w:t xml:space="preserve">, quiero pagar con PayPhone (tarjeta) o por transferencia + comprobante — ambas vías.</w:t>
      </w:r>
    </w:p>
    <w:p>
      <w:pPr>
        <w:pStyle w:val="ListParagraph"/>
        <w:numPr>
          <w:ilvl w:val="0"/>
          <w:numId w:val="2"/>
        </w:numPr>
        <w:spacing w:after="100"/>
      </w:pPr>
      <w:r>
        <w:t xml:space="preserve">Como </w:t>
      </w:r>
      <w:r>
        <w:rPr>
          <w:b/>
          <w:bCs/>
        </w:rPr>
        <w:t xml:space="preserve">administración</w:t>
      </w:r>
      <w:r>
        <w:t xml:space="preserve">, quiero verificar el pago sin procesar manualmente cada caso por fuera del sistema.</w:t>
      </w:r>
    </w:p>
    <w:p>
      <w:pPr>
        <w:pStyle w:val="ListParagraph"/>
        <w:numPr>
          <w:ilvl w:val="0"/>
          <w:numId w:val="2"/>
        </w:numPr>
        <w:spacing w:after="100"/>
      </w:pPr>
      <w:r>
        <w:t xml:space="preserve">Como </w:t>
      </w:r>
      <w:r>
        <w:rPr>
          <w:b/>
          <w:bCs/>
        </w:rPr>
        <w:t xml:space="preserve">presidente</w:t>
      </w:r>
      <w:r>
        <w:t xml:space="preserve"> o </w:t>
      </w:r>
      <w:r>
        <w:rPr>
          <w:b/>
          <w:bCs/>
        </w:rPr>
        <w:t xml:space="preserve">director</w:t>
      </w:r>
      <w:r>
        <w:t xml:space="preserve">, quiero ver ocupación e ingresos en tiempo real.</w:t>
      </w:r>
    </w:p>
    <w:p>
      <w:pPr>
        <w:pStyle w:val="Heading3"/>
        <w:spacing w:after="120" w:before="220"/>
      </w:pPr>
      <w:r>
        <w:rPr>
          <w:b/>
          <w:bCs/>
          <w:sz w:val="23"/>
          <w:szCs w:val="23"/>
        </w:rPr>
        <w:t xml:space="preserve">3.1.2 Aportaciones</w:t>
      </w:r>
    </w:p>
    <w:p>
      <w:pPr>
        <w:pStyle w:val="ListParagraph"/>
        <w:numPr>
          <w:ilvl w:val="0"/>
          <w:numId w:val="2"/>
        </w:numPr>
        <w:spacing w:after="100"/>
      </w:pPr>
      <w:r>
        <w:t xml:space="preserve">Como </w:t>
      </w:r>
      <w:r>
        <w:rPr>
          <w:b/>
          <w:bCs/>
        </w:rPr>
        <w:t xml:space="preserve">estudiante-aportante</w:t>
      </w:r>
      <w:r>
        <w:t xml:space="preserve">, quiero elegir entre 3 niveles — Bronce, Platino, Pantera — y recibir beneficios (descuento en casillero, billar, PS4, etc.).</w:t>
      </w:r>
    </w:p>
    <w:p>
      <w:pPr>
        <w:pStyle w:val="ListParagraph"/>
        <w:numPr>
          <w:ilvl w:val="0"/>
          <w:numId w:val="2"/>
        </w:numPr>
        <w:spacing w:after="100"/>
      </w:pPr>
      <w:r>
        <w:t xml:space="preserve">Como </w:t>
      </w:r>
      <w:r>
        <w:rPr>
          <w:b/>
          <w:bCs/>
        </w:rPr>
        <w:t xml:space="preserve">administración</w:t>
      </w:r>
      <w:r>
        <w:t xml:space="preserve">, quiero definir/mantener los niveles de aportación y sus beneficios.</w:t>
      </w:r>
    </w:p>
    <w:p>
      <w:pPr>
        <w:spacing w:after="160"/>
      </w:pPr>
      <w:r>
        <w:rPr>
          <w:b/>
          <w:bCs/>
        </w:rPr>
        <w:t xml:space="preserve">Dato real de contexto:</w:t>
      </w:r>
      <w:r>
        <w:t xml:space="preserve"> históricamente ya hubo un esquema de 2 tiers (~$7.99 y ~$19.99) que luego cambió a un plan único de $35 — el esquema de aportaciones ya cambió de forma antes, así que el modelo de datos debe soportar que tiers y beneficios cambien entre periodos sin romper el histórico.</w:t>
      </w:r>
    </w:p>
    <w:p>
      <w:pPr>
        <w:spacing w:after="160"/>
      </w:pPr>
      <w:r>
        <w:rPr>
          <w:b/>
          <w:bCs/>
        </w:rPr>
        <w:t xml:space="preserve">Abierto (crítico):</w:t>
      </w:r>
      <w:r>
        <w:t xml:space="preserve"> montos exactos de cada tier vigente — bloquea el modelo de datos de este dominio.</w:t>
      </w:r>
    </w:p>
    <w:p>
      <w:pPr>
        <w:pStyle w:val="Heading3"/>
        <w:spacing w:after="120" w:before="220"/>
      </w:pPr>
      <w:r>
        <w:rPr>
          <w:b/>
          <w:bCs/>
          <w:sz w:val="23"/>
          <w:szCs w:val="23"/>
        </w:rPr>
        <w:t xml:space="preserve">3.1.3 Emprendimientos (reemplaza "Comunidad")</w:t>
      </w:r>
    </w:p>
    <w:p>
      <w:pPr>
        <w:pStyle w:val="ListParagraph"/>
        <w:numPr>
          <w:ilvl w:val="0"/>
          <w:numId w:val="2"/>
        </w:numPr>
        <w:spacing w:after="100"/>
      </w:pPr>
      <w:r>
        <w:t xml:space="preserve">Como </w:t>
      </w:r>
      <w:r>
        <w:rPr>
          <w:b/>
          <w:bCs/>
        </w:rPr>
        <w:t xml:space="preserve">estudiante emprendedor</w:t>
      </w:r>
      <w:r>
        <w:t xml:space="preserve">, quiero dar visibilidad a mi emprendimiento, con botón de contacto que abre WhatsApp directamente.</w:t>
      </w:r>
    </w:p>
    <w:p>
      <w:pPr>
        <w:pStyle w:val="ListParagraph"/>
        <w:numPr>
          <w:ilvl w:val="0"/>
          <w:numId w:val="2"/>
        </w:numPr>
        <w:spacing w:after="100"/>
      </w:pPr>
      <w:r>
        <w:t xml:space="preserve">Como </w:t>
      </w:r>
      <w:r>
        <w:rPr>
          <w:b/>
          <w:bCs/>
        </w:rPr>
        <w:t xml:space="preserve">estudiante</w:t>
      </w:r>
      <w:r>
        <w:t xml:space="preserve">, quiero descubrir emprendimientos de otros politécnicos.</w:t>
      </w:r>
    </w:p>
    <w:p>
      <w:pPr>
        <w:spacing w:after="160"/>
      </w:pPr>
      <w:r>
        <w:t xml:space="preserve">Diseño confirmado: vitrina/directorio informativo, sin transacción in-app — reutiliza el diseño de "Marketplace fase 1" de `aeis-app`.</w:t>
      </w:r>
    </w:p>
    <w:p>
      <w:pPr>
        <w:pStyle w:val="Heading3"/>
        <w:spacing w:after="120" w:before="220"/>
      </w:pPr>
      <w:r>
        <w:rPr>
          <w:b/>
          <w:bCs/>
          <w:sz w:val="23"/>
          <w:szCs w:val="23"/>
        </w:rPr>
        <w:t xml:space="preserve">3.1.4 Eventos y Recursos</w:t>
      </w:r>
    </w:p>
    <w:p>
      <w:pPr>
        <w:spacing w:after="160"/>
      </w:pPr>
      <w:r>
        <w:t xml:space="preserve">Sin cambios de fondo respecto al prototipo actual. Confirmado dentro del alcance de esta fase por ser mayormente CRUD + listado informativo.</w:t>
      </w:r>
    </w:p>
    <w:p>
      <w:pPr>
        <w:pStyle w:val="Heading3"/>
        <w:spacing w:after="120" w:before="220"/>
      </w:pPr>
      <w:r>
        <w:rPr>
          <w:b/>
          <w:bCs/>
          <w:sz w:val="23"/>
          <w:szCs w:val="23"/>
        </w:rPr>
        <w:t xml:space="preserve">3.1.5 Seguridad</w:t>
      </w:r>
    </w:p>
    <w:p>
      <w:pPr>
        <w:pStyle w:val="ListParagraph"/>
        <w:numPr>
          <w:ilvl w:val="0"/>
          <w:numId w:val="2"/>
        </w:numPr>
        <w:spacing w:after="100"/>
      </w:pPr>
      <w:r>
        <w:t xml:space="preserve">Como </w:t>
      </w:r>
      <w:r>
        <w:rPr>
          <w:b/>
          <w:bCs/>
        </w:rPr>
        <w:t xml:space="preserve">estudiante</w:t>
      </w:r>
      <w:r>
        <w:t xml:space="preserve">, quiero ver el estado de seguridad de mi zona/campus.</w:t>
      </w:r>
    </w:p>
    <w:p>
      <w:pPr>
        <w:spacing w:after="160"/>
      </w:pPr>
      <w:r>
        <w:t xml:space="preserve">Prototipo frontend funcional con datos reales del DMQ ya existe.</w:t>
      </w:r>
    </w:p>
    <w:p>
      <w:pPr>
        <w:pStyle w:val="Heading3"/>
        <w:spacing w:after="120" w:before="220"/>
      </w:pPr>
      <w:r>
        <w:rPr>
          <w:b/>
          <w:bCs/>
          <w:sz w:val="23"/>
          <w:szCs w:val="23"/>
        </w:rPr>
        <w:t xml:space="preserve">3.1.6 Analítica</w:t>
      </w:r>
    </w:p>
    <w:p>
      <w:pPr>
        <w:pStyle w:val="ListParagraph"/>
        <w:numPr>
          <w:ilvl w:val="0"/>
          <w:numId w:val="2"/>
        </w:numPr>
        <w:spacing w:after="100"/>
      </w:pPr>
      <w:r>
        <w:t xml:space="preserve">Como </w:t>
      </w:r>
      <w:r>
        <w:rPr>
          <w:b/>
          <w:bCs/>
        </w:rPr>
        <w:t xml:space="preserve">presidente</w:t>
      </w:r>
      <w:r>
        <w:t xml:space="preserve">, quiero ver ingresos vs. techo teórico semestral, ocupación, aportantes activos, tráfico — y la trazabilidad de 277 registros vs. 91 concretados (hallazgo del déficit de caja, ahora requisito Must).</w:t>
      </w:r>
    </w:p>
    <w:p>
      <w:pPr>
        <w:pStyle w:val="ListParagraph"/>
        <w:numPr>
          <w:ilvl w:val="0"/>
          <w:numId w:val="2"/>
        </w:numPr>
        <w:spacing w:after="100"/>
      </w:pPr>
      <w:r>
        <w:t xml:space="preserve">Como </w:t>
      </w:r>
      <w:r>
        <w:rPr>
          <w:b/>
          <w:bCs/>
        </w:rPr>
        <w:t xml:space="preserve">director</w:t>
      </w:r>
      <w:r>
        <w:t xml:space="preserve">, quiero lo mismo que el presidente, más auditoría técnica: logs del servidor, picos de tráfico, salud del pipeline CI/CD.</w:t>
      </w:r>
    </w:p>
    <w:p>
      <w:pPr>
        <w:spacing w:after="120"/>
      </w:pPr>
    </w:p>
    <w:p>
      <w:pPr>
        <w:pStyle w:val="Heading2"/>
        <w:spacing w:after="160" w:before="280"/>
      </w:pPr>
      <w:r>
        <w:rPr>
          <w:b/>
          <w:bCs/>
          <w:color w:val="0f6a52"/>
          <w:sz w:val="26"/>
          <w:szCs w:val="26"/>
        </w:rPr>
        <w:t xml:space="preserve">3.2 Mapa de stakeholders y permisos</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3200"/>
        <w:gridCol w:w="4200"/>
        <w:gridCol w:w="1950"/>
      </w:tblGrid>
      <w:tr>
        <w:trPr>
          <w:tblHeader/>
        </w:trPr>
        <w:tc>
          <w:tcPr>
            <w:tcW w:type="dxa" w:w="3200"/>
            <w:shd w:fill="1c2f66" w:val="clear"/>
            <w:tcMar>
              <w:top w:type="dxa" w:w="80"/>
              <w:left w:type="dxa" w:w="100"/>
              <w:bottom w:type="dxa" w:w="80"/>
              <w:right w:type="dxa" w:w="100"/>
            </w:tcMar>
            <w:vAlign w:val="center"/>
          </w:tcPr>
          <w:p>
            <w:r>
              <w:rPr>
                <w:b/>
                <w:bCs/>
                <w:color w:val="FFFFFF"/>
                <w:sz w:val="19"/>
                <w:szCs w:val="19"/>
              </w:rPr>
              <w:t xml:space="preserve">Rol</w:t>
            </w:r>
          </w:p>
        </w:tc>
        <w:tc>
          <w:tcPr>
            <w:tcW w:type="dxa" w:w="4200"/>
            <w:shd w:fill="1c2f66" w:val="clear"/>
            <w:tcMar>
              <w:top w:type="dxa" w:w="80"/>
              <w:left w:type="dxa" w:w="100"/>
              <w:bottom w:type="dxa" w:w="80"/>
              <w:right w:type="dxa" w:w="100"/>
            </w:tcMar>
            <w:vAlign w:val="center"/>
          </w:tcPr>
          <w:p>
            <w:r>
              <w:rPr>
                <w:b/>
                <w:bCs/>
                <w:color w:val="FFFFFF"/>
                <w:sz w:val="19"/>
                <w:szCs w:val="19"/>
              </w:rPr>
              <w:t xml:space="preserve">Interés principal</w:t>
            </w:r>
          </w:p>
        </w:tc>
        <w:tc>
          <w:tcPr>
            <w:tcW w:type="dxa" w:w="1950"/>
            <w:shd w:fill="1c2f66" w:val="clear"/>
            <w:tcMar>
              <w:top w:type="dxa" w:w="80"/>
              <w:left w:type="dxa" w:w="100"/>
              <w:bottom w:type="dxa" w:w="80"/>
              <w:right w:type="dxa" w:w="100"/>
            </w:tcMar>
            <w:vAlign w:val="center"/>
          </w:tcPr>
          <w:p>
            <w:r>
              <w:rPr>
                <w:b/>
                <w:bCs/>
                <w:color w:val="FFFFFF"/>
                <w:sz w:val="19"/>
                <w:szCs w:val="19"/>
              </w:rPr>
              <w:t xml:space="preserve">Acceso</w:t>
            </w:r>
          </w:p>
        </w:tc>
      </w:tr>
      <w:tr>
        <w:tc>
          <w:tcPr>
            <w:tcW w:type="dxa" w:w="3200"/>
            <w:tcMar>
              <w:top w:type="dxa" w:w="80"/>
              <w:left w:type="dxa" w:w="100"/>
              <w:bottom w:type="dxa" w:w="80"/>
              <w:right w:type="dxa" w:w="100"/>
            </w:tcMar>
            <w:vAlign w:val="center"/>
          </w:tcPr>
          <w:p>
            <w:r>
              <w:rPr>
                <w:b w:val="false"/>
                <w:bCs w:val="false"/>
                <w:sz w:val="19"/>
                <w:szCs w:val="19"/>
              </w:rPr>
              <w:t xml:space="preserve">Estudiante</w:t>
            </w:r>
          </w:p>
        </w:tc>
        <w:tc>
          <w:tcPr>
            <w:tcW w:type="dxa" w:w="4200"/>
            <w:tcMar>
              <w:top w:type="dxa" w:w="80"/>
              <w:left w:type="dxa" w:w="100"/>
              <w:bottom w:type="dxa" w:w="80"/>
              <w:right w:type="dxa" w:w="100"/>
            </w:tcMar>
            <w:vAlign w:val="center"/>
          </w:tcPr>
          <w:p>
            <w:r>
              <w:rPr>
                <w:b w:val="false"/>
                <w:bCs w:val="false"/>
                <w:sz w:val="19"/>
                <w:szCs w:val="19"/>
              </w:rPr>
              <w:t xml:space="preserve">Alquilar casillero, ver contenido, ser aportante</w:t>
            </w:r>
          </w:p>
        </w:tc>
        <w:tc>
          <w:tcPr>
            <w:tcW w:type="dxa" w:w="1950"/>
            <w:tcMar>
              <w:top w:type="dxa" w:w="80"/>
              <w:left w:type="dxa" w:w="100"/>
              <w:bottom w:type="dxa" w:w="80"/>
              <w:right w:type="dxa" w:w="100"/>
            </w:tcMar>
            <w:vAlign w:val="center"/>
          </w:tcPr>
          <w:p>
            <w:r>
              <w:rPr>
                <w:b w:val="false"/>
                <w:bCs w:val="false"/>
                <w:sz w:val="19"/>
                <w:szCs w:val="19"/>
              </w:rPr>
              <w:t xml:space="preserve">Usuario autenticado (Logto)</w:t>
            </w:r>
          </w:p>
        </w:tc>
      </w:tr>
      <w:tr>
        <w:tc>
          <w:tcPr>
            <w:tcW w:type="dxa" w:w="3200"/>
            <w:tcMar>
              <w:top w:type="dxa" w:w="80"/>
              <w:left w:type="dxa" w:w="100"/>
              <w:bottom w:type="dxa" w:w="80"/>
              <w:right w:type="dxa" w:w="100"/>
            </w:tcMar>
            <w:vAlign w:val="center"/>
          </w:tcPr>
          <w:p>
            <w:r>
              <w:rPr>
                <w:b w:val="false"/>
                <w:bCs w:val="false"/>
                <w:sz w:val="19"/>
                <w:szCs w:val="19"/>
              </w:rPr>
              <w:t xml:space="preserve">Presidente AEIS</w:t>
            </w:r>
          </w:p>
        </w:tc>
        <w:tc>
          <w:tcPr>
            <w:tcW w:type="dxa" w:w="4200"/>
            <w:tcMar>
              <w:top w:type="dxa" w:w="80"/>
              <w:left w:type="dxa" w:w="100"/>
              <w:bottom w:type="dxa" w:w="80"/>
              <w:right w:type="dxa" w:w="100"/>
            </w:tcMar>
            <w:vAlign w:val="center"/>
          </w:tcPr>
          <w:p>
            <w:r>
              <w:rPr>
                <w:b w:val="false"/>
                <w:bCs w:val="false"/>
                <w:sz w:val="19"/>
                <w:szCs w:val="19"/>
              </w:rPr>
              <w:t xml:space="preserve">Analítica de ingresos, ocupación, adopción</w:t>
            </w:r>
          </w:p>
        </w:tc>
        <w:tc>
          <w:tcPr>
            <w:tcW w:type="dxa" w:w="1950"/>
            <w:tcMar>
              <w:top w:type="dxa" w:w="80"/>
              <w:left w:type="dxa" w:w="100"/>
              <w:bottom w:type="dxa" w:w="80"/>
              <w:right w:type="dxa" w:w="100"/>
            </w:tcMar>
            <w:vAlign w:val="center"/>
          </w:tcPr>
          <w:p>
            <w:r>
              <w:rPr>
                <w:b w:val="false"/>
                <w:bCs w:val="false"/>
                <w:sz w:val="19"/>
                <w:szCs w:val="19"/>
              </w:rPr>
              <w:t xml:space="preserve">Rol administrativo</w:t>
            </w:r>
          </w:p>
        </w:tc>
      </w:tr>
      <w:tr>
        <w:tc>
          <w:tcPr>
            <w:tcW w:type="dxa" w:w="3200"/>
            <w:tcMar>
              <w:top w:type="dxa" w:w="80"/>
              <w:left w:type="dxa" w:w="100"/>
              <w:bottom w:type="dxa" w:w="80"/>
              <w:right w:type="dxa" w:w="100"/>
            </w:tcMar>
            <w:vAlign w:val="center"/>
          </w:tcPr>
          <w:p>
            <w:r>
              <w:rPr>
                <w:b w:val="false"/>
                <w:bCs w:val="false"/>
                <w:sz w:val="19"/>
                <w:szCs w:val="19"/>
              </w:rPr>
              <w:t xml:space="preserve">Director de Innovación y Vinculación</w:t>
            </w:r>
          </w:p>
        </w:tc>
        <w:tc>
          <w:tcPr>
            <w:tcW w:type="dxa" w:w="4200"/>
            <w:tcMar>
              <w:top w:type="dxa" w:w="80"/>
              <w:left w:type="dxa" w:w="100"/>
              <w:bottom w:type="dxa" w:w="80"/>
              <w:right w:type="dxa" w:w="100"/>
            </w:tcMar>
            <w:vAlign w:val="center"/>
          </w:tcPr>
          <w:p>
            <w:r>
              <w:rPr>
                <w:b w:val="false"/>
                <w:bCs w:val="false"/>
                <w:sz w:val="19"/>
                <w:szCs w:val="19"/>
              </w:rPr>
              <w:t xml:space="preserve">Analítica + auditoría técnica/seguridad</w:t>
            </w:r>
          </w:p>
        </w:tc>
        <w:tc>
          <w:tcPr>
            <w:tcW w:type="dxa" w:w="1950"/>
            <w:tcMar>
              <w:top w:type="dxa" w:w="80"/>
              <w:left w:type="dxa" w:w="100"/>
              <w:bottom w:type="dxa" w:w="80"/>
              <w:right w:type="dxa" w:w="100"/>
            </w:tcMar>
            <w:vAlign w:val="center"/>
          </w:tcPr>
          <w:p>
            <w:r>
              <w:rPr>
                <w:b w:val="false"/>
                <w:bCs w:val="false"/>
                <w:sz w:val="19"/>
                <w:szCs w:val="19"/>
              </w:rPr>
              <w:t xml:space="preserve">Rol administrativo + técnico</w:t>
            </w:r>
          </w:p>
        </w:tc>
      </w:tr>
      <w:tr>
        <w:tc>
          <w:tcPr>
            <w:tcW w:type="dxa" w:w="3200"/>
            <w:tcMar>
              <w:top w:type="dxa" w:w="80"/>
              <w:left w:type="dxa" w:w="100"/>
              <w:bottom w:type="dxa" w:w="80"/>
              <w:right w:type="dxa" w:w="100"/>
            </w:tcMar>
            <w:vAlign w:val="center"/>
          </w:tcPr>
          <w:p>
            <w:r>
              <w:rPr>
                <w:b w:val="false"/>
                <w:bCs w:val="false"/>
                <w:sz w:val="19"/>
                <w:szCs w:val="19"/>
              </w:rPr>
              <w:t xml:space="preserve">Administración</w:t>
            </w:r>
          </w:p>
        </w:tc>
        <w:tc>
          <w:tcPr>
            <w:tcW w:type="dxa" w:w="4200"/>
            <w:tcMar>
              <w:top w:type="dxa" w:w="80"/>
              <w:left w:type="dxa" w:w="100"/>
              <w:bottom w:type="dxa" w:w="80"/>
              <w:right w:type="dxa" w:w="100"/>
            </w:tcMar>
            <w:vAlign w:val="center"/>
          </w:tcPr>
          <w:p>
            <w:r>
              <w:rPr>
                <w:b w:val="false"/>
                <w:bCs w:val="false"/>
                <w:sz w:val="19"/>
                <w:szCs w:val="19"/>
              </w:rPr>
              <w:t xml:space="preserve">Operación diaria del alquiler (por confirmar si es rol propio)</w:t>
            </w:r>
          </w:p>
        </w:tc>
        <w:tc>
          <w:tcPr>
            <w:tcW w:type="dxa" w:w="1950"/>
            <w:tcMar>
              <w:top w:type="dxa" w:w="80"/>
              <w:left w:type="dxa" w:w="100"/>
              <w:bottom w:type="dxa" w:w="80"/>
              <w:right w:type="dxa" w:w="100"/>
            </w:tcMar>
            <w:vAlign w:val="center"/>
          </w:tcPr>
          <w:p>
            <w:r>
              <w:rPr>
                <w:b w:val="false"/>
                <w:bCs w:val="false"/>
                <w:sz w:val="19"/>
                <w:szCs w:val="19"/>
              </w:rPr>
              <w:t xml:space="preserve">Rol operativo</w:t>
            </w:r>
          </w:p>
        </w:tc>
      </w:tr>
    </w:tbl>
    <w:p>
      <w:pPr>
        <w:spacing w:after="120"/>
      </w:pPr>
    </w:p>
    <w:p>
      <w:pPr>
        <w:pStyle w:val="Heading2"/>
        <w:spacing w:after="160" w:before="280"/>
      </w:pPr>
      <w:r>
        <w:rPr>
          <w:b/>
          <w:bCs/>
          <w:color w:val="0f6a52"/>
          <w:sz w:val="26"/>
          <w:szCs w:val="26"/>
        </w:rPr>
        <w:t xml:space="preserve">3.3 Priorización MoSCoW</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1650"/>
        <w:gridCol w:w="7700"/>
      </w:tblGrid>
      <w:tr>
        <w:trPr>
          <w:tblHeader/>
        </w:trPr>
        <w:tc>
          <w:tcPr>
            <w:tcW w:type="dxa" w:w="1650"/>
            <w:shd w:fill="1c2f66" w:val="clear"/>
            <w:tcMar>
              <w:top w:type="dxa" w:w="80"/>
              <w:left w:type="dxa" w:w="100"/>
              <w:bottom w:type="dxa" w:w="80"/>
              <w:right w:type="dxa" w:w="100"/>
            </w:tcMar>
            <w:vAlign w:val="center"/>
          </w:tcPr>
          <w:p>
            <w:r>
              <w:rPr>
                <w:b/>
                <w:bCs/>
                <w:color w:val="FFFFFF"/>
                <w:sz w:val="19"/>
                <w:szCs w:val="19"/>
              </w:rPr>
              <w:t xml:space="preserve">Prioridad</w:t>
            </w:r>
          </w:p>
        </w:tc>
        <w:tc>
          <w:tcPr>
            <w:tcW w:type="dxa" w:w="7700"/>
            <w:shd w:fill="1c2f66" w:val="clear"/>
            <w:tcMar>
              <w:top w:type="dxa" w:w="80"/>
              <w:left w:type="dxa" w:w="100"/>
              <w:bottom w:type="dxa" w:w="80"/>
              <w:right w:type="dxa" w:w="100"/>
            </w:tcMar>
            <w:vAlign w:val="center"/>
          </w:tcPr>
          <w:p>
            <w:r>
              <w:rPr>
                <w:b/>
                <w:bCs/>
                <w:color w:val="FFFFFF"/>
                <w:sz w:val="19"/>
                <w:szCs w:val="19"/>
              </w:rPr>
              <w:t xml:space="preserve">Dominio / capacidad</w:t>
            </w:r>
          </w:p>
        </w:tc>
      </w:tr>
      <w:tr>
        <w:tc>
          <w:tcPr>
            <w:tcW w:type="dxa" w:w="1650"/>
            <w:tcMar>
              <w:top w:type="dxa" w:w="80"/>
              <w:left w:type="dxa" w:w="100"/>
              <w:bottom w:type="dxa" w:w="80"/>
              <w:right w:type="dxa" w:w="100"/>
            </w:tcMar>
            <w:vAlign w:val="center"/>
          </w:tcPr>
          <w:p>
            <w:r>
              <w:rPr>
                <w:b w:val="false"/>
                <w:bCs w:val="false"/>
                <w:sz w:val="19"/>
                <w:szCs w:val="19"/>
              </w:rPr>
              <w:t xml:space="preserve">Must</w:t>
            </w:r>
          </w:p>
        </w:tc>
        <w:tc>
          <w:tcPr>
            <w:tcW w:type="dxa" w:w="7700"/>
            <w:tcMar>
              <w:top w:type="dxa" w:w="80"/>
              <w:left w:type="dxa" w:w="100"/>
              <w:bottom w:type="dxa" w:w="80"/>
              <w:right w:type="dxa" w:w="100"/>
            </w:tcMar>
            <w:vAlign w:val="center"/>
          </w:tcPr>
          <w:p>
            <w:r>
              <w:rPr>
                <w:b w:val="false"/>
                <w:bCs w:val="false"/>
                <w:sz w:val="19"/>
                <w:szCs w:val="19"/>
              </w:rPr>
              <w:t xml:space="preserve">Autenticación (Logto: Google/GitHub/credenciales) con 3 niveles de rol</w:t>
            </w:r>
          </w:p>
        </w:tc>
      </w:tr>
      <w:tr>
        <w:tc>
          <w:tcPr>
            <w:tcW w:type="dxa" w:w="1650"/>
            <w:tcMar>
              <w:top w:type="dxa" w:w="80"/>
              <w:left w:type="dxa" w:w="100"/>
              <w:bottom w:type="dxa" w:w="80"/>
              <w:right w:type="dxa" w:w="100"/>
            </w:tcMar>
            <w:vAlign w:val="center"/>
          </w:tcPr>
          <w:p>
            <w:r>
              <w:rPr>
                <w:b w:val="false"/>
                <w:bCs w:val="false"/>
                <w:sz w:val="19"/>
                <w:szCs w:val="19"/>
              </w:rPr>
              <w:t xml:space="preserve">Must</w:t>
            </w:r>
          </w:p>
        </w:tc>
        <w:tc>
          <w:tcPr>
            <w:tcW w:type="dxa" w:w="7700"/>
            <w:tcMar>
              <w:top w:type="dxa" w:w="80"/>
              <w:left w:type="dxa" w:w="100"/>
              <w:bottom w:type="dxa" w:w="80"/>
              <w:right w:type="dxa" w:w="100"/>
            </w:tcMar>
            <w:vAlign w:val="center"/>
          </w:tcPr>
          <w:p>
            <w:r>
              <w:rPr>
                <w:b w:val="false"/>
                <w:bCs w:val="false"/>
                <w:sz w:val="19"/>
                <w:szCs w:val="19"/>
              </w:rPr>
              <w:t xml:space="preserve">Casilleros: alquiler + pago dual + asignación, con concurrencia segura a ~1000 estudiantes</w:t>
            </w:r>
          </w:p>
        </w:tc>
      </w:tr>
      <w:tr>
        <w:tc>
          <w:tcPr>
            <w:tcW w:type="dxa" w:w="1650"/>
            <w:tcMar>
              <w:top w:type="dxa" w:w="80"/>
              <w:left w:type="dxa" w:w="100"/>
              <w:bottom w:type="dxa" w:w="80"/>
              <w:right w:type="dxa" w:w="100"/>
            </w:tcMar>
            <w:vAlign w:val="center"/>
          </w:tcPr>
          <w:p>
            <w:r>
              <w:rPr>
                <w:b w:val="false"/>
                <w:bCs w:val="false"/>
                <w:sz w:val="19"/>
                <w:szCs w:val="19"/>
              </w:rPr>
              <w:t xml:space="preserve">Must</w:t>
            </w:r>
          </w:p>
        </w:tc>
        <w:tc>
          <w:tcPr>
            <w:tcW w:type="dxa" w:w="7700"/>
            <w:tcMar>
              <w:top w:type="dxa" w:w="80"/>
              <w:left w:type="dxa" w:w="100"/>
              <w:bottom w:type="dxa" w:w="80"/>
              <w:right w:type="dxa" w:w="100"/>
            </w:tcMar>
            <w:vAlign w:val="center"/>
          </w:tcPr>
          <w:p>
            <w:r>
              <w:rPr>
                <w:b w:val="false"/>
                <w:bCs w:val="false"/>
                <w:sz w:val="19"/>
                <w:szCs w:val="19"/>
              </w:rPr>
              <w:t xml:space="preserve">Analítica básica de casilleros (ingresos, ocupación) para Presidente/Director</w:t>
            </w:r>
          </w:p>
        </w:tc>
      </w:tr>
      <w:tr>
        <w:tc>
          <w:tcPr>
            <w:tcW w:type="dxa" w:w="1650"/>
            <w:tcMar>
              <w:top w:type="dxa" w:w="80"/>
              <w:left w:type="dxa" w:w="100"/>
              <w:bottom w:type="dxa" w:w="80"/>
              <w:right w:type="dxa" w:w="100"/>
            </w:tcMar>
            <w:vAlign w:val="center"/>
          </w:tcPr>
          <w:p>
            <w:r>
              <w:rPr>
                <w:b w:val="false"/>
                <w:bCs w:val="false"/>
                <w:sz w:val="19"/>
                <w:szCs w:val="19"/>
              </w:rPr>
              <w:t xml:space="preserve">Must</w:t>
            </w:r>
          </w:p>
        </w:tc>
        <w:tc>
          <w:tcPr>
            <w:tcW w:type="dxa" w:w="7700"/>
            <w:tcMar>
              <w:top w:type="dxa" w:w="80"/>
              <w:left w:type="dxa" w:w="100"/>
              <w:bottom w:type="dxa" w:w="80"/>
              <w:right w:type="dxa" w:w="100"/>
            </w:tcMar>
            <w:vAlign w:val="center"/>
          </w:tcPr>
          <w:p>
            <w:r>
              <w:rPr>
                <w:b w:val="false"/>
                <w:bCs w:val="false"/>
                <w:sz w:val="19"/>
                <w:szCs w:val="19"/>
              </w:rPr>
              <w:t xml:space="preserve">Eventos y Recursos (CRUD + listado)</w:t>
            </w:r>
          </w:p>
        </w:tc>
      </w:tr>
      <w:tr>
        <w:tc>
          <w:tcPr>
            <w:tcW w:type="dxa" w:w="1650"/>
            <w:tcMar>
              <w:top w:type="dxa" w:w="80"/>
              <w:left w:type="dxa" w:w="100"/>
              <w:bottom w:type="dxa" w:w="80"/>
              <w:right w:type="dxa" w:w="100"/>
            </w:tcMar>
            <w:vAlign w:val="center"/>
          </w:tcPr>
          <w:p>
            <w:r>
              <w:rPr>
                <w:b w:val="false"/>
                <w:bCs w:val="false"/>
                <w:sz w:val="19"/>
                <w:szCs w:val="19"/>
              </w:rPr>
              <w:t xml:space="preserve">Must</w:t>
            </w:r>
          </w:p>
        </w:tc>
        <w:tc>
          <w:tcPr>
            <w:tcW w:type="dxa" w:w="7700"/>
            <w:tcMar>
              <w:top w:type="dxa" w:w="80"/>
              <w:left w:type="dxa" w:w="100"/>
              <w:bottom w:type="dxa" w:w="80"/>
              <w:right w:type="dxa" w:w="100"/>
            </w:tcMar>
            <w:vAlign w:val="center"/>
          </w:tcPr>
          <w:p>
            <w:r>
              <w:rPr>
                <w:b w:val="false"/>
                <w:bCs w:val="false"/>
                <w:sz w:val="19"/>
                <w:szCs w:val="19"/>
              </w:rPr>
              <w:t xml:space="preserve">Trazabilidad/auditoría de alquiler (277 registros → 91 concretados)</w:t>
            </w:r>
          </w:p>
        </w:tc>
      </w:tr>
      <w:tr>
        <w:tc>
          <w:tcPr>
            <w:tcW w:type="dxa" w:w="1650"/>
            <w:tcMar>
              <w:top w:type="dxa" w:w="80"/>
              <w:left w:type="dxa" w:w="100"/>
              <w:bottom w:type="dxa" w:w="80"/>
              <w:right w:type="dxa" w:w="100"/>
            </w:tcMar>
            <w:vAlign w:val="center"/>
          </w:tcPr>
          <w:p>
            <w:r>
              <w:rPr>
                <w:b w:val="false"/>
                <w:bCs w:val="false"/>
                <w:sz w:val="19"/>
                <w:szCs w:val="19"/>
              </w:rPr>
              <w:t xml:space="preserve">Should</w:t>
            </w:r>
          </w:p>
        </w:tc>
        <w:tc>
          <w:tcPr>
            <w:tcW w:type="dxa" w:w="7700"/>
            <w:tcMar>
              <w:top w:type="dxa" w:w="80"/>
              <w:left w:type="dxa" w:w="100"/>
              <w:bottom w:type="dxa" w:w="80"/>
              <w:right w:type="dxa" w:w="100"/>
            </w:tcMar>
            <w:vAlign w:val="center"/>
          </w:tcPr>
          <w:p>
            <w:r>
              <w:rPr>
                <w:b w:val="false"/>
                <w:bCs w:val="false"/>
                <w:sz w:val="19"/>
                <w:szCs w:val="19"/>
              </w:rPr>
              <w:t xml:space="preserve">Aportaciones — 3 tiers confirmados, montos pendientes</w:t>
            </w:r>
          </w:p>
        </w:tc>
      </w:tr>
      <w:tr>
        <w:tc>
          <w:tcPr>
            <w:tcW w:type="dxa" w:w="1650"/>
            <w:tcMar>
              <w:top w:type="dxa" w:w="80"/>
              <w:left w:type="dxa" w:w="100"/>
              <w:bottom w:type="dxa" w:w="80"/>
              <w:right w:type="dxa" w:w="100"/>
            </w:tcMar>
            <w:vAlign w:val="center"/>
          </w:tcPr>
          <w:p>
            <w:r>
              <w:rPr>
                <w:b w:val="false"/>
                <w:bCs w:val="false"/>
                <w:sz w:val="19"/>
                <w:szCs w:val="19"/>
              </w:rPr>
              <w:t xml:space="preserve">Should</w:t>
            </w:r>
          </w:p>
        </w:tc>
        <w:tc>
          <w:tcPr>
            <w:tcW w:type="dxa" w:w="7700"/>
            <w:tcMar>
              <w:top w:type="dxa" w:w="80"/>
              <w:left w:type="dxa" w:w="100"/>
              <w:bottom w:type="dxa" w:w="80"/>
              <w:right w:type="dxa" w:w="100"/>
            </w:tcMar>
            <w:vAlign w:val="center"/>
          </w:tcPr>
          <w:p>
            <w:r>
              <w:rPr>
                <w:b w:val="false"/>
                <w:bCs w:val="false"/>
                <w:sz w:val="19"/>
                <w:szCs w:val="19"/>
              </w:rPr>
              <w:t xml:space="preserve">Emprendimientos (diseño ya resuelto)</w:t>
            </w:r>
          </w:p>
        </w:tc>
      </w:tr>
      <w:tr>
        <w:tc>
          <w:tcPr>
            <w:tcW w:type="dxa" w:w="1650"/>
            <w:tcMar>
              <w:top w:type="dxa" w:w="80"/>
              <w:left w:type="dxa" w:w="100"/>
              <w:bottom w:type="dxa" w:w="80"/>
              <w:right w:type="dxa" w:w="100"/>
            </w:tcMar>
            <w:vAlign w:val="center"/>
          </w:tcPr>
          <w:p>
            <w:r>
              <w:rPr>
                <w:b w:val="false"/>
                <w:bCs w:val="false"/>
                <w:sz w:val="19"/>
                <w:szCs w:val="19"/>
              </w:rPr>
              <w:t xml:space="preserve">Could</w:t>
            </w:r>
          </w:p>
        </w:tc>
        <w:tc>
          <w:tcPr>
            <w:tcW w:type="dxa" w:w="7700"/>
            <w:tcMar>
              <w:top w:type="dxa" w:w="80"/>
              <w:left w:type="dxa" w:w="100"/>
              <w:bottom w:type="dxa" w:w="80"/>
              <w:right w:type="dxa" w:w="100"/>
            </w:tcMar>
            <w:vAlign w:val="center"/>
          </w:tcPr>
          <w:p>
            <w:r>
              <w:rPr>
                <w:b w:val="false"/>
                <w:bCs w:val="false"/>
                <w:sz w:val="19"/>
                <w:szCs w:val="19"/>
              </w:rPr>
              <w:t xml:space="preserve">Analítica extendida (tráfico, tendencias, auditoría detallada)</w:t>
            </w:r>
          </w:p>
        </w:tc>
      </w:tr>
      <w:tr>
        <w:tc>
          <w:tcPr>
            <w:tcW w:type="dxa" w:w="1650"/>
            <w:tcMar>
              <w:top w:type="dxa" w:w="80"/>
              <w:left w:type="dxa" w:w="100"/>
              <w:bottom w:type="dxa" w:w="80"/>
              <w:right w:type="dxa" w:w="100"/>
            </w:tcMar>
            <w:vAlign w:val="center"/>
          </w:tcPr>
          <w:p>
            <w:r>
              <w:rPr>
                <w:b w:val="false"/>
                <w:bCs w:val="false"/>
                <w:sz w:val="19"/>
                <w:szCs w:val="19"/>
              </w:rPr>
              <w:t xml:space="preserve">Could</w:t>
            </w:r>
          </w:p>
        </w:tc>
        <w:tc>
          <w:tcPr>
            <w:tcW w:type="dxa" w:w="7700"/>
            <w:tcMar>
              <w:top w:type="dxa" w:w="80"/>
              <w:left w:type="dxa" w:w="100"/>
              <w:bottom w:type="dxa" w:w="80"/>
              <w:right w:type="dxa" w:w="100"/>
            </w:tcMar>
            <w:vAlign w:val="center"/>
          </w:tcPr>
          <w:p>
            <w:r>
              <w:rPr>
                <w:b w:val="false"/>
                <w:bCs w:val="false"/>
                <w:sz w:val="19"/>
                <w:szCs w:val="19"/>
              </w:rPr>
              <w:t xml:space="preserve">OCR automático del comprobante de transferencia</w:t>
            </w:r>
          </w:p>
        </w:tc>
      </w:tr>
    </w:tbl>
    <w:p>
      <w:pPr>
        <w:spacing w:after="120"/>
      </w:pPr>
    </w:p>
    <w:p>
      <w:pPr>
        <w:spacing w:after="160"/>
      </w:pPr>
      <w:r>
        <w:t xml:space="preserve">Con el alcance confirmado como "todo cabe", el riesgo principal ya no es de alcance sino de </w:t>
      </w:r>
      <w:r>
        <w:rPr>
          <w:b/>
          <w:bCs/>
        </w:rPr>
        <w:t xml:space="preserve">secuencia</w:t>
      </w:r>
      <w:r>
        <w:t xml:space="preserve">: construir primero los "Must" antes que Aportaciones/Emprendimientos.</w:t>
      </w:r>
    </w:p>
    <w:p>
      <w:pPr>
        <w:spacing w:after="120"/>
      </w:pPr>
    </w:p>
    <w:p>
      <w:pPr>
        <w:pStyle w:val="Heading2"/>
        <w:spacing w:after="160" w:before="280"/>
      </w:pPr>
      <w:r>
        <w:rPr>
          <w:b/>
          <w:bCs/>
          <w:color w:val="0f6a52"/>
          <w:sz w:val="26"/>
          <w:szCs w:val="26"/>
        </w:rPr>
        <w:t xml:space="preserve">3.4 Preguntas abiertas consolidadas</w:t>
      </w:r>
    </w:p>
    <w:p>
      <w:pPr>
        <w:pStyle w:val="ListParagraph"/>
        <w:numPr>
          <w:ilvl w:val="0"/>
          <w:numId w:val="2"/>
        </w:numPr>
        <w:spacing w:after="100"/>
      </w:pPr>
      <w:r>
        <w:t xml:space="preserve">Montos y beneficios exactos de cada tier de Aportaciones — crítica, bloquea el modelo de datos.</w:t>
      </w:r>
    </w:p>
    <w:p>
      <w:pPr>
        <w:pStyle w:val="ListParagraph"/>
        <w:numPr>
          <w:ilvl w:val="0"/>
          <w:numId w:val="2"/>
        </w:numPr>
        <w:spacing w:after="100"/>
      </w:pPr>
      <w:r>
        <w:t xml:space="preserve">Precio semestral exacto a fijar dentro del rango $5.50–$9.00 (ver Sección 5.4).</w:t>
      </w:r>
    </w:p>
    <w:p>
      <w:pPr>
        <w:pStyle w:val="ListParagraph"/>
        <w:numPr>
          <w:ilvl w:val="0"/>
          <w:numId w:val="2"/>
        </w:numPr>
        <w:spacing w:after="100"/>
      </w:pPr>
      <w:r>
        <w:t xml:space="preserve">Rol "Administración": ¿cuarto rol operativo o lo cubren Presidente/Director?</w:t>
      </w:r>
    </w:p>
    <w:p>
      <w:pPr>
        <w:pStyle w:val="ListParagraph"/>
        <w:numPr>
          <w:ilvl w:val="0"/>
          <w:numId w:val="2"/>
        </w:numPr>
        <w:spacing w:after="100"/>
      </w:pPr>
      <w:r>
        <w:t xml:space="preserve">Logto: modo de despliegue (cloud/self-hosted) y modelo de tenant/organización.</w:t>
      </w:r>
    </w:p>
    <w:p>
      <w:pPr>
        <w:pStyle w:val="ListParagraph"/>
        <w:numPr>
          <w:ilvl w:val="0"/>
          <w:numId w:val="2"/>
        </w:numPr>
        <w:spacing w:after="100"/>
      </w:pPr>
      <w:r>
        <w:t xml:space="preserve">Retención y marco regulatorio de datos personales (LOPDP), ahora con datos biométricos incluidos.</w:t>
      </w:r>
    </w:p>
    <w:p>
      <w:pPr>
        <w:pStyle w:val="ListParagraph"/>
        <w:numPr>
          <w:ilvl w:val="0"/>
          <w:numId w:val="2"/>
        </w:numPr>
        <w:spacing w:after="100"/>
      </w:pPr>
      <w:r>
        <w:t xml:space="preserve">Rol final de SvelteKit/Vue en el frontend — respuesta del sponsor no concluyente.</w:t>
      </w:r>
    </w:p>
    <w:p>
      <w:pPr>
        <w:pStyle w:val="ListParagraph"/>
        <w:numPr>
          <w:ilvl w:val="0"/>
          <w:numId w:val="2"/>
        </w:numPr>
        <w:spacing w:after="100"/>
      </w:pPr>
      <w:r>
        <w:t xml:space="preserve">Moderación de Emprendimientos: ¿requiere aprobación antes de publicarse?</w:t>
      </w:r>
    </w:p>
    <w:p>
      <w:pPr>
        <w:pStyle w:val="ListParagraph"/>
        <w:numPr>
          <w:ilvl w:val="0"/>
          <w:numId w:val="2"/>
        </w:numPr>
        <w:spacing w:after="100"/>
      </w:pPr>
      <w:r>
        <w:t xml:space="preserve">¿Se adopta la verificación biométrica facial (CompreFace) propuesta en el documento técnico externo?</w:t>
      </w:r>
    </w:p>
    <w:p>
      <w:pPr>
        <w:spacing w:after="120"/>
      </w:pPr>
    </w:p>
    <w:p>
      <w:r>
        <w:br w:type="page"/>
      </w:r>
    </w:p>
    <w:p>
      <w:pPr>
        <w:pStyle w:val="Heading1"/>
        <w:spacing w:after="200" w:before="360"/>
      </w:pPr>
      <w:r>
        <w:rPr>
          <w:b/>
          <w:bCs/>
          <w:color w:val="1c2f66"/>
          <w:sz w:val="32"/>
          <w:szCs w:val="32"/>
        </w:rPr>
        <w:t xml:space="preserve">4. Anexo A — Análisis Financiero Real</w:t>
      </w:r>
    </w:p>
    <w:p>
      <w:pPr>
        <w:spacing w:after="160"/>
      </w:pPr>
      <w:r>
        <w:rPr>
          <w:b/>
          <w:bCs/>
        </w:rPr>
        <w:t xml:space="preserve">Fuente:</w:t>
      </w:r>
      <w:r>
        <w:t xml:space="preserve"> `Gobernanza_Datos_AEIS.xlsx` — modelo de datos consolidado de finanzas AEIS, generado 2026-07-19, a partir de 17 archivos mensuales (1,027 movimientos, periodos 2025-A / 2025-B / 2026-A).</w:t>
      </w:r>
    </w:p>
    <w:p>
      <w:pPr>
        <w:spacing w:after="120"/>
      </w:pPr>
    </w:p>
    <w:p>
      <w:pPr>
        <w:pStyle w:val="Heading2"/>
        <w:spacing w:after="160" w:before="280"/>
      </w:pPr>
      <w:r>
        <w:rPr>
          <w:b/>
          <w:bCs/>
          <w:color w:val="0f6a52"/>
          <w:sz w:val="26"/>
          <w:szCs w:val="26"/>
        </w:rPr>
        <w:t xml:space="preserve">4.1 Balance por periodo</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3000"/>
        <w:gridCol w:w="1750"/>
        <w:gridCol w:w="1750"/>
        <w:gridCol w:w="1350"/>
      </w:tblGrid>
      <w:tr>
        <w:trPr>
          <w:tblHeader/>
        </w:trPr>
        <w:tc>
          <w:tcPr>
            <w:tcW w:type="dxa" w:w="1500"/>
            <w:shd w:fill="1c2f66" w:val="clear"/>
            <w:tcMar>
              <w:top w:type="dxa" w:w="80"/>
              <w:left w:type="dxa" w:w="100"/>
              <w:bottom w:type="dxa" w:w="80"/>
              <w:right w:type="dxa" w:w="100"/>
            </w:tcMar>
            <w:vAlign w:val="center"/>
          </w:tcPr>
          <w:p>
            <w:r>
              <w:rPr>
                <w:b/>
                <w:bCs/>
                <w:color w:val="FFFFFF"/>
                <w:sz w:val="19"/>
                <w:szCs w:val="19"/>
              </w:rPr>
              <w:t xml:space="preserve">Periodo</w:t>
            </w:r>
          </w:p>
        </w:tc>
        <w:tc>
          <w:tcPr>
            <w:tcW w:type="dxa" w:w="3000"/>
            <w:shd w:fill="1c2f66" w:val="clear"/>
            <w:tcMar>
              <w:top w:type="dxa" w:w="80"/>
              <w:left w:type="dxa" w:w="100"/>
              <w:bottom w:type="dxa" w:w="80"/>
              <w:right w:type="dxa" w:w="100"/>
            </w:tcMar>
            <w:vAlign w:val="center"/>
          </w:tcPr>
          <w:p>
            <w:r>
              <w:rPr>
                <w:b/>
                <w:bCs/>
                <w:color w:val="FFFFFF"/>
                <w:sz w:val="19"/>
                <w:szCs w:val="19"/>
              </w:rPr>
              <w:t xml:space="preserve">Meses</w:t>
            </w:r>
          </w:p>
        </w:tc>
        <w:tc>
          <w:tcPr>
            <w:tcW w:type="dxa" w:w="1750"/>
            <w:shd w:fill="1c2f66" w:val="clear"/>
            <w:tcMar>
              <w:top w:type="dxa" w:w="80"/>
              <w:left w:type="dxa" w:w="100"/>
              <w:bottom w:type="dxa" w:w="80"/>
              <w:right w:type="dxa" w:w="100"/>
            </w:tcMar>
            <w:vAlign w:val="center"/>
          </w:tcPr>
          <w:p>
            <w:r>
              <w:rPr>
                <w:b/>
                <w:bCs/>
                <w:color w:val="FFFFFF"/>
                <w:sz w:val="19"/>
                <w:szCs w:val="19"/>
              </w:rPr>
              <w:t xml:space="preserve">Ingresos</w:t>
            </w:r>
          </w:p>
        </w:tc>
        <w:tc>
          <w:tcPr>
            <w:tcW w:type="dxa" w:w="1750"/>
            <w:shd w:fill="1c2f66" w:val="clear"/>
            <w:tcMar>
              <w:top w:type="dxa" w:w="80"/>
              <w:left w:type="dxa" w:w="100"/>
              <w:bottom w:type="dxa" w:w="80"/>
              <w:right w:type="dxa" w:w="100"/>
            </w:tcMar>
            <w:vAlign w:val="center"/>
          </w:tcPr>
          <w:p>
            <w:r>
              <w:rPr>
                <w:b/>
                <w:bCs/>
                <w:color w:val="FFFFFF"/>
                <w:sz w:val="19"/>
                <w:szCs w:val="19"/>
              </w:rPr>
              <w:t xml:space="preserve">Egresos</w:t>
            </w:r>
          </w:p>
        </w:tc>
        <w:tc>
          <w:tcPr>
            <w:tcW w:type="dxa" w:w="1350"/>
            <w:shd w:fill="1c2f66" w:val="clear"/>
            <w:tcMar>
              <w:top w:type="dxa" w:w="80"/>
              <w:left w:type="dxa" w:w="100"/>
              <w:bottom w:type="dxa" w:w="80"/>
              <w:right w:type="dxa" w:w="100"/>
            </w:tcMar>
            <w:vAlign w:val="center"/>
          </w:tcPr>
          <w:p>
            <w:r>
              <w:rPr>
                <w:b/>
                <w:bCs/>
                <w:color w:val="FFFFFF"/>
                <w:sz w:val="19"/>
                <w:szCs w:val="19"/>
              </w:rPr>
              <w:t xml:space="preserve">Balance</w:t>
            </w:r>
          </w:p>
        </w:tc>
      </w:tr>
      <w:tr>
        <w:tc>
          <w:tcPr>
            <w:tcW w:type="dxa" w:w="1500"/>
            <w:tcMar>
              <w:top w:type="dxa" w:w="80"/>
              <w:left w:type="dxa" w:w="100"/>
              <w:bottom w:type="dxa" w:w="80"/>
              <w:right w:type="dxa" w:w="100"/>
            </w:tcMar>
            <w:vAlign w:val="center"/>
          </w:tcPr>
          <w:p>
            <w:r>
              <w:rPr>
                <w:b w:val="false"/>
                <w:bCs w:val="false"/>
                <w:sz w:val="19"/>
                <w:szCs w:val="19"/>
              </w:rPr>
              <w:t xml:space="preserve">2025-A</w:t>
            </w:r>
          </w:p>
        </w:tc>
        <w:tc>
          <w:tcPr>
            <w:tcW w:type="dxa" w:w="3000"/>
            <w:tcMar>
              <w:top w:type="dxa" w:w="80"/>
              <w:left w:type="dxa" w:w="100"/>
              <w:bottom w:type="dxa" w:w="80"/>
              <w:right w:type="dxa" w:w="100"/>
            </w:tcMar>
            <w:vAlign w:val="center"/>
          </w:tcPr>
          <w:p>
            <w:r>
              <w:rPr>
                <w:b w:val="false"/>
                <w:bCs w:val="false"/>
                <w:sz w:val="19"/>
                <w:szCs w:val="19"/>
              </w:rPr>
              <w:t xml:space="preserve">Mar–Jul 2025</w:t>
            </w:r>
          </w:p>
        </w:tc>
        <w:tc>
          <w:tcPr>
            <w:tcW w:type="dxa" w:w="1750"/>
            <w:tcMar>
              <w:top w:type="dxa" w:w="80"/>
              <w:left w:type="dxa" w:w="100"/>
              <w:bottom w:type="dxa" w:w="80"/>
              <w:right w:type="dxa" w:w="100"/>
            </w:tcMar>
            <w:vAlign w:val="center"/>
          </w:tcPr>
          <w:p>
            <w:r>
              <w:rPr>
                <w:b w:val="false"/>
                <w:bCs w:val="false"/>
                <w:sz w:val="19"/>
                <w:szCs w:val="19"/>
              </w:rPr>
              <w:t xml:space="preserve">$5,800.15</w:t>
            </w:r>
          </w:p>
        </w:tc>
        <w:tc>
          <w:tcPr>
            <w:tcW w:type="dxa" w:w="1750"/>
            <w:tcMar>
              <w:top w:type="dxa" w:w="80"/>
              <w:left w:type="dxa" w:w="100"/>
              <w:bottom w:type="dxa" w:w="80"/>
              <w:right w:type="dxa" w:w="100"/>
            </w:tcMar>
            <w:vAlign w:val="center"/>
          </w:tcPr>
          <w:p>
            <w:r>
              <w:rPr>
                <w:b w:val="false"/>
                <w:bCs w:val="false"/>
                <w:sz w:val="19"/>
                <w:szCs w:val="19"/>
              </w:rPr>
              <w:t xml:space="preserve">$5,351.80</w:t>
            </w:r>
          </w:p>
        </w:tc>
        <w:tc>
          <w:tcPr>
            <w:tcW w:type="dxa" w:w="1350"/>
            <w:tcMar>
              <w:top w:type="dxa" w:w="80"/>
              <w:left w:type="dxa" w:w="100"/>
              <w:bottom w:type="dxa" w:w="80"/>
              <w:right w:type="dxa" w:w="100"/>
            </w:tcMar>
            <w:vAlign w:val="center"/>
          </w:tcPr>
          <w:p>
            <w:r>
              <w:rPr>
                <w:b w:val="false"/>
                <w:bCs w:val="false"/>
                <w:sz w:val="19"/>
                <w:szCs w:val="19"/>
              </w:rPr>
              <w:t xml:space="preserve">+$448.35</w:t>
            </w:r>
          </w:p>
        </w:tc>
      </w:tr>
      <w:tr>
        <w:tc>
          <w:tcPr>
            <w:tcW w:type="dxa" w:w="1500"/>
            <w:tcMar>
              <w:top w:type="dxa" w:w="80"/>
              <w:left w:type="dxa" w:w="100"/>
              <w:bottom w:type="dxa" w:w="80"/>
              <w:right w:type="dxa" w:w="100"/>
            </w:tcMar>
            <w:vAlign w:val="center"/>
          </w:tcPr>
          <w:p>
            <w:r>
              <w:rPr>
                <w:b w:val="false"/>
                <w:bCs w:val="false"/>
                <w:sz w:val="19"/>
                <w:szCs w:val="19"/>
              </w:rPr>
              <w:t xml:space="preserve">2025-B</w:t>
            </w:r>
          </w:p>
        </w:tc>
        <w:tc>
          <w:tcPr>
            <w:tcW w:type="dxa" w:w="3000"/>
            <w:tcMar>
              <w:top w:type="dxa" w:w="80"/>
              <w:left w:type="dxa" w:w="100"/>
              <w:bottom w:type="dxa" w:w="80"/>
              <w:right w:type="dxa" w:w="100"/>
            </w:tcMar>
            <w:vAlign w:val="center"/>
          </w:tcPr>
          <w:p>
            <w:r>
              <w:rPr>
                <w:b w:val="false"/>
                <w:bCs w:val="false"/>
                <w:sz w:val="19"/>
                <w:szCs w:val="19"/>
              </w:rPr>
              <w:t xml:space="preserve">Ago 2025–Feb 2026</w:t>
            </w:r>
          </w:p>
        </w:tc>
        <w:tc>
          <w:tcPr>
            <w:tcW w:type="dxa" w:w="1750"/>
            <w:tcMar>
              <w:top w:type="dxa" w:w="80"/>
              <w:left w:type="dxa" w:w="100"/>
              <w:bottom w:type="dxa" w:w="80"/>
              <w:right w:type="dxa" w:w="100"/>
            </w:tcMar>
            <w:vAlign w:val="center"/>
          </w:tcPr>
          <w:p>
            <w:r>
              <w:rPr>
                <w:b w:val="false"/>
                <w:bCs w:val="false"/>
                <w:sz w:val="19"/>
                <w:szCs w:val="19"/>
              </w:rPr>
              <w:t xml:space="preserve">$5,353.46</w:t>
            </w:r>
          </w:p>
        </w:tc>
        <w:tc>
          <w:tcPr>
            <w:tcW w:type="dxa" w:w="1750"/>
            <w:tcMar>
              <w:top w:type="dxa" w:w="80"/>
              <w:left w:type="dxa" w:w="100"/>
              <w:bottom w:type="dxa" w:w="80"/>
              <w:right w:type="dxa" w:w="100"/>
            </w:tcMar>
            <w:vAlign w:val="center"/>
          </w:tcPr>
          <w:p>
            <w:r>
              <w:rPr>
                <w:b w:val="false"/>
                <w:bCs w:val="false"/>
                <w:sz w:val="19"/>
                <w:szCs w:val="19"/>
              </w:rPr>
              <w:t xml:space="preserve">$7,217.76</w:t>
            </w:r>
          </w:p>
        </w:tc>
        <w:tc>
          <w:tcPr>
            <w:tcW w:type="dxa" w:w="1350"/>
            <w:tcMar>
              <w:top w:type="dxa" w:w="80"/>
              <w:left w:type="dxa" w:w="100"/>
              <w:bottom w:type="dxa" w:w="80"/>
              <w:right w:type="dxa" w:w="100"/>
            </w:tcMar>
            <w:vAlign w:val="center"/>
          </w:tcPr>
          <w:p>
            <w:r>
              <w:rPr>
                <w:b w:val="false"/>
                <w:bCs w:val="false"/>
                <w:sz w:val="19"/>
                <w:szCs w:val="19"/>
              </w:rPr>
              <w:t xml:space="preserve">-$1,864.30</w:t>
            </w:r>
          </w:p>
        </w:tc>
      </w:tr>
      <w:tr>
        <w:tc>
          <w:tcPr>
            <w:tcW w:type="dxa" w:w="1500"/>
            <w:tcMar>
              <w:top w:type="dxa" w:w="80"/>
              <w:left w:type="dxa" w:w="100"/>
              <w:bottom w:type="dxa" w:w="80"/>
              <w:right w:type="dxa" w:w="100"/>
            </w:tcMar>
            <w:vAlign w:val="center"/>
          </w:tcPr>
          <w:p>
            <w:r>
              <w:rPr>
                <w:b w:val="false"/>
                <w:bCs w:val="false"/>
                <w:sz w:val="19"/>
                <w:szCs w:val="19"/>
              </w:rPr>
              <w:t xml:space="preserve">2026-A</w:t>
            </w:r>
          </w:p>
        </w:tc>
        <w:tc>
          <w:tcPr>
            <w:tcW w:type="dxa" w:w="3000"/>
            <w:tcMar>
              <w:top w:type="dxa" w:w="80"/>
              <w:left w:type="dxa" w:w="100"/>
              <w:bottom w:type="dxa" w:w="80"/>
              <w:right w:type="dxa" w:w="100"/>
            </w:tcMar>
            <w:vAlign w:val="center"/>
          </w:tcPr>
          <w:p>
            <w:r>
              <w:rPr>
                <w:b w:val="false"/>
                <w:bCs w:val="false"/>
                <w:sz w:val="19"/>
                <w:szCs w:val="19"/>
              </w:rPr>
              <w:t xml:space="preserve">Mar–Jul 2026 (parcial)</w:t>
            </w:r>
          </w:p>
        </w:tc>
        <w:tc>
          <w:tcPr>
            <w:tcW w:type="dxa" w:w="1750"/>
            <w:tcMar>
              <w:top w:type="dxa" w:w="80"/>
              <w:left w:type="dxa" w:w="100"/>
              <w:bottom w:type="dxa" w:w="80"/>
              <w:right w:type="dxa" w:w="100"/>
            </w:tcMar>
            <w:vAlign w:val="center"/>
          </w:tcPr>
          <w:p>
            <w:r>
              <w:rPr>
                <w:b w:val="false"/>
                <w:bCs w:val="false"/>
                <w:sz w:val="19"/>
                <w:szCs w:val="19"/>
              </w:rPr>
              <w:t xml:space="preserve">$4,214.87</w:t>
            </w:r>
          </w:p>
        </w:tc>
        <w:tc>
          <w:tcPr>
            <w:tcW w:type="dxa" w:w="1750"/>
            <w:tcMar>
              <w:top w:type="dxa" w:w="80"/>
              <w:left w:type="dxa" w:w="100"/>
              <w:bottom w:type="dxa" w:w="80"/>
              <w:right w:type="dxa" w:w="100"/>
            </w:tcMar>
            <w:vAlign w:val="center"/>
          </w:tcPr>
          <w:p>
            <w:r>
              <w:rPr>
                <w:b w:val="false"/>
                <w:bCs w:val="false"/>
                <w:sz w:val="19"/>
                <w:szCs w:val="19"/>
              </w:rPr>
              <w:t xml:space="preserve">$1,658.12</w:t>
            </w:r>
          </w:p>
        </w:tc>
        <w:tc>
          <w:tcPr>
            <w:tcW w:type="dxa" w:w="1350"/>
            <w:tcMar>
              <w:top w:type="dxa" w:w="80"/>
              <w:left w:type="dxa" w:w="100"/>
              <w:bottom w:type="dxa" w:w="80"/>
              <w:right w:type="dxa" w:w="100"/>
            </w:tcMar>
            <w:vAlign w:val="center"/>
          </w:tcPr>
          <w:p>
            <w:r>
              <w:rPr>
                <w:b w:val="false"/>
                <w:bCs w:val="false"/>
                <w:sz w:val="19"/>
                <w:szCs w:val="19"/>
              </w:rPr>
              <w:t xml:space="preserve">+$2,556.75</w:t>
            </w:r>
          </w:p>
        </w:tc>
      </w:tr>
    </w:tbl>
    <w:p>
      <w:pPr>
        <w:spacing w:after="120"/>
      </w:pPr>
    </w:p>
    <w:p>
      <w:pPr>
        <w:spacing w:after="160"/>
      </w:pPr>
      <w:r>
        <w:t xml:space="preserve">2025-B cerró con </w:t>
      </w:r>
      <w:r>
        <w:rPr>
          <w:b/>
          <w:bCs/>
        </w:rPr>
        <w:t xml:space="preserve">déficit real</w:t>
      </w:r>
      <w:r>
        <w:t xml:space="preserve"> de -$1,864.30 — la app no es solo conveniencia operativa, hay presión real de sostenibilidad financiera detrás de automatizar y optimizar precios.</w:t>
      </w:r>
    </w:p>
    <w:p>
      <w:pPr>
        <w:spacing w:after="120"/>
      </w:pPr>
    </w:p>
    <w:p>
      <w:pPr>
        <w:pStyle w:val="Heading2"/>
        <w:spacing w:after="160" w:before="280"/>
      </w:pPr>
      <w:r>
        <w:rPr>
          <w:b/>
          <w:bCs/>
          <w:color w:val="0f6a52"/>
          <w:sz w:val="26"/>
          <w:szCs w:val="26"/>
        </w:rPr>
        <w:t xml:space="preserve">4.2 Casilleros — ingreso real</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3000"/>
        <w:gridCol w:w="3000"/>
        <w:gridCol w:w="3350"/>
      </w:tblGrid>
      <w:tr>
        <w:trPr>
          <w:tblHeader/>
        </w:trPr>
        <w:tc>
          <w:tcPr>
            <w:tcW w:type="dxa" w:w="3000"/>
            <w:shd w:fill="1c2f66" w:val="clear"/>
            <w:tcMar>
              <w:top w:type="dxa" w:w="80"/>
              <w:left w:type="dxa" w:w="100"/>
              <w:bottom w:type="dxa" w:w="80"/>
              <w:right w:type="dxa" w:w="100"/>
            </w:tcMar>
            <w:vAlign w:val="center"/>
          </w:tcPr>
          <w:p>
            <w:r>
              <w:rPr>
                <w:b/>
                <w:bCs/>
                <w:color w:val="FFFFFF"/>
                <w:sz w:val="19"/>
                <w:szCs w:val="19"/>
              </w:rPr>
              <w:t xml:space="preserve">Periodo</w:t>
            </w:r>
          </w:p>
        </w:tc>
        <w:tc>
          <w:tcPr>
            <w:tcW w:type="dxa" w:w="3000"/>
            <w:shd w:fill="1c2f66" w:val="clear"/>
            <w:tcMar>
              <w:top w:type="dxa" w:w="80"/>
              <w:left w:type="dxa" w:w="100"/>
              <w:bottom w:type="dxa" w:w="80"/>
              <w:right w:type="dxa" w:w="100"/>
            </w:tcMar>
            <w:vAlign w:val="center"/>
          </w:tcPr>
          <w:p>
            <w:r>
              <w:rPr>
                <w:b/>
                <w:bCs/>
                <w:color w:val="FFFFFF"/>
                <w:sz w:val="19"/>
                <w:szCs w:val="19"/>
              </w:rPr>
              <w:t xml:space="preserve">Ingreso</w:t>
            </w:r>
          </w:p>
        </w:tc>
        <w:tc>
          <w:tcPr>
            <w:tcW w:type="dxa" w:w="3350"/>
            <w:shd w:fill="1c2f66" w:val="clear"/>
            <w:tcMar>
              <w:top w:type="dxa" w:w="80"/>
              <w:left w:type="dxa" w:w="100"/>
              <w:bottom w:type="dxa" w:w="80"/>
              <w:right w:type="dxa" w:w="100"/>
            </w:tcMar>
            <w:vAlign w:val="center"/>
          </w:tcPr>
          <w:p>
            <w:r>
              <w:rPr>
                <w:b/>
                <w:bCs/>
                <w:color w:val="FFFFFF"/>
                <w:sz w:val="19"/>
                <w:szCs w:val="19"/>
              </w:rPr>
              <w:t xml:space="preserve">Movimientos</w:t>
            </w:r>
          </w:p>
        </w:tc>
      </w:tr>
      <w:tr>
        <w:tc>
          <w:tcPr>
            <w:tcW w:type="dxa" w:w="3000"/>
            <w:tcMar>
              <w:top w:type="dxa" w:w="80"/>
              <w:left w:type="dxa" w:w="100"/>
              <w:bottom w:type="dxa" w:w="80"/>
              <w:right w:type="dxa" w:w="100"/>
            </w:tcMar>
            <w:vAlign w:val="center"/>
          </w:tcPr>
          <w:p>
            <w:r>
              <w:rPr>
                <w:b w:val="false"/>
                <w:bCs w:val="false"/>
                <w:sz w:val="19"/>
                <w:szCs w:val="19"/>
              </w:rPr>
              <w:t xml:space="preserve">2025-A</w:t>
            </w:r>
          </w:p>
        </w:tc>
        <w:tc>
          <w:tcPr>
            <w:tcW w:type="dxa" w:w="3000"/>
            <w:tcMar>
              <w:top w:type="dxa" w:w="80"/>
              <w:left w:type="dxa" w:w="100"/>
              <w:bottom w:type="dxa" w:w="80"/>
              <w:right w:type="dxa" w:w="100"/>
            </w:tcMar>
            <w:vAlign w:val="center"/>
          </w:tcPr>
          <w:p>
            <w:r>
              <w:rPr>
                <w:b w:val="false"/>
                <w:bCs w:val="false"/>
                <w:sz w:val="19"/>
                <w:szCs w:val="19"/>
              </w:rPr>
              <w:t xml:space="preserve">$522.60</w:t>
            </w:r>
          </w:p>
        </w:tc>
        <w:tc>
          <w:tcPr>
            <w:tcW w:type="dxa" w:w="3350"/>
            <w:tcMar>
              <w:top w:type="dxa" w:w="80"/>
              <w:left w:type="dxa" w:w="100"/>
              <w:bottom w:type="dxa" w:w="80"/>
              <w:right w:type="dxa" w:w="100"/>
            </w:tcMar>
            <w:vAlign w:val="center"/>
          </w:tcPr>
          <w:p>
            <w:r>
              <w:rPr>
                <w:b w:val="false"/>
                <w:bCs w:val="false"/>
                <w:sz w:val="19"/>
                <w:szCs w:val="19"/>
              </w:rPr>
              <w:t xml:space="preserve">92</w:t>
            </w:r>
          </w:p>
        </w:tc>
      </w:tr>
      <w:tr>
        <w:tc>
          <w:tcPr>
            <w:tcW w:type="dxa" w:w="3000"/>
            <w:tcMar>
              <w:top w:type="dxa" w:w="80"/>
              <w:left w:type="dxa" w:w="100"/>
              <w:bottom w:type="dxa" w:w="80"/>
              <w:right w:type="dxa" w:w="100"/>
            </w:tcMar>
            <w:vAlign w:val="center"/>
          </w:tcPr>
          <w:p>
            <w:r>
              <w:rPr>
                <w:b w:val="false"/>
                <w:bCs w:val="false"/>
                <w:sz w:val="19"/>
                <w:szCs w:val="19"/>
              </w:rPr>
              <w:t xml:space="preserve">2025-B</w:t>
            </w:r>
          </w:p>
        </w:tc>
        <w:tc>
          <w:tcPr>
            <w:tcW w:type="dxa" w:w="3000"/>
            <w:tcMar>
              <w:top w:type="dxa" w:w="80"/>
              <w:left w:type="dxa" w:w="100"/>
              <w:bottom w:type="dxa" w:w="80"/>
              <w:right w:type="dxa" w:w="100"/>
            </w:tcMar>
            <w:vAlign w:val="center"/>
          </w:tcPr>
          <w:p>
            <w:r>
              <w:rPr>
                <w:b w:val="false"/>
                <w:bCs w:val="false"/>
                <w:sz w:val="19"/>
                <w:szCs w:val="19"/>
              </w:rPr>
              <w:t xml:space="preserve">$431.60</w:t>
            </w:r>
          </w:p>
        </w:tc>
        <w:tc>
          <w:tcPr>
            <w:tcW w:type="dxa" w:w="3350"/>
            <w:tcMar>
              <w:top w:type="dxa" w:w="80"/>
              <w:left w:type="dxa" w:w="100"/>
              <w:bottom w:type="dxa" w:w="80"/>
              <w:right w:type="dxa" w:w="100"/>
            </w:tcMar>
            <w:vAlign w:val="center"/>
          </w:tcPr>
          <w:p>
            <w:r>
              <w:rPr>
                <w:b w:val="false"/>
                <w:bCs w:val="false"/>
                <w:sz w:val="19"/>
                <w:szCs w:val="19"/>
              </w:rPr>
              <w:t xml:space="preserve">77</w:t>
            </w:r>
          </w:p>
        </w:tc>
      </w:tr>
      <w:tr>
        <w:tc>
          <w:tcPr>
            <w:tcW w:type="dxa" w:w="3000"/>
            <w:tcMar>
              <w:top w:type="dxa" w:w="80"/>
              <w:left w:type="dxa" w:w="100"/>
              <w:bottom w:type="dxa" w:w="80"/>
              <w:right w:type="dxa" w:w="100"/>
            </w:tcMar>
            <w:vAlign w:val="center"/>
          </w:tcPr>
          <w:p>
            <w:r>
              <w:rPr>
                <w:b w:val="false"/>
                <w:bCs w:val="false"/>
                <w:sz w:val="19"/>
                <w:szCs w:val="19"/>
              </w:rPr>
              <w:t xml:space="preserve">2026-A (parcial)</w:t>
            </w:r>
          </w:p>
        </w:tc>
        <w:tc>
          <w:tcPr>
            <w:tcW w:type="dxa" w:w="3000"/>
            <w:tcMar>
              <w:top w:type="dxa" w:w="80"/>
              <w:left w:type="dxa" w:w="100"/>
              <w:bottom w:type="dxa" w:w="80"/>
              <w:right w:type="dxa" w:w="100"/>
            </w:tcMar>
            <w:vAlign w:val="center"/>
          </w:tcPr>
          <w:p>
            <w:r>
              <w:rPr>
                <w:b w:val="false"/>
                <w:bCs w:val="false"/>
                <w:sz w:val="19"/>
                <w:szCs w:val="19"/>
              </w:rPr>
              <w:t xml:space="preserve">$256.50</w:t>
            </w:r>
          </w:p>
        </w:tc>
        <w:tc>
          <w:tcPr>
            <w:tcW w:type="dxa" w:w="3350"/>
            <w:tcMar>
              <w:top w:type="dxa" w:w="80"/>
              <w:left w:type="dxa" w:w="100"/>
              <w:bottom w:type="dxa" w:w="80"/>
              <w:right w:type="dxa" w:w="100"/>
            </w:tcMar>
            <w:vAlign w:val="center"/>
          </w:tcPr>
          <w:p>
            <w:r>
              <w:rPr>
                <w:b w:val="false"/>
                <w:bCs w:val="false"/>
                <w:sz w:val="19"/>
                <w:szCs w:val="19"/>
              </w:rPr>
              <w:t xml:space="preserve">40</w:t>
            </w:r>
          </w:p>
        </w:tc>
      </w:tr>
    </w:tbl>
    <w:p>
      <w:pPr>
        <w:spacing w:after="120"/>
      </w:pPr>
    </w:p>
    <w:p>
      <w:pPr>
        <w:spacing w:after="160"/>
      </w:pPr>
      <w:r>
        <w:t xml:space="preserve">Techo teórico: 108 casilleros × $6.50 = </w:t>
      </w:r>
      <w:r>
        <w:rPr>
          <w:b/>
          <w:bCs/>
        </w:rPr>
        <w:t xml:space="preserve">$702.00 por SEMESTRE</w:t>
      </w:r>
      <w:r>
        <w:t xml:space="preserve"> (el cobro es semestral, no anual — techo anual real = $1,404.00).</w:t>
      </w:r>
    </w:p>
    <w:p>
      <w:pPr>
        <w:spacing w:after="160"/>
      </w:pPr>
      <w:r>
        <w:t xml:space="preserve">Tres cifras de ingreso/actividad real, de tres fuentes distintas, sin conciliar del todo: (1) 277 — conteo de registros del proceso de alquiler, no dólares; (2) $256.50 — reconstruido de la hoja de gobernanza, 2026-A parcial; (3) </w:t>
      </w:r>
      <w:r>
        <w:rPr>
          <w:b/>
          <w:bCs/>
        </w:rPr>
        <w:t xml:space="preserve">$591.50</w:t>
      </w:r>
      <w:r>
        <w:t xml:space="preserve"> — 91 de 108 casilleros alquilados (84.3%), "dato provisto por la EPN". El sponsor confirmó que esos 91 son "los alquilados de 277 registrados" — de 277 personas que iniciaron el proceso, solo 91 terminaron con casillero pagado y asignado, y hay un </w:t>
      </w:r>
      <w:r>
        <w:rPr>
          <w:b/>
          <w:bCs/>
        </w:rPr>
        <w:t xml:space="preserve">déficit de caja sin explicación identificada</w:t>
      </w:r>
      <w:r>
        <w:t xml:space="preserve"> en esa brecha.</w:t>
      </w:r>
    </w:p>
    <w:p>
      <w:pPr>
        <w:spacing w:after="120"/>
      </w:pPr>
    </w:p>
    <w:p>
      <w:pPr>
        <w:pStyle w:val="Heading2"/>
        <w:spacing w:after="160" w:before="280"/>
      </w:pPr>
      <w:r>
        <w:rPr>
          <w:b/>
          <w:bCs/>
          <w:color w:val="0f6a52"/>
          <w:sz w:val="26"/>
          <w:szCs w:val="26"/>
        </w:rPr>
        <w:t xml:space="preserve">4.3 Aportaciones — datos reales</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4650"/>
        <w:gridCol w:w="2350"/>
        <w:gridCol w:w="2350"/>
      </w:tblGrid>
      <w:tr>
        <w:trPr>
          <w:tblHeader/>
        </w:trPr>
        <w:tc>
          <w:tcPr>
            <w:tcW w:type="dxa" w:w="4650"/>
            <w:shd w:fill="1c2f66" w:val="clear"/>
            <w:tcMar>
              <w:top w:type="dxa" w:w="80"/>
              <w:left w:type="dxa" w:w="100"/>
              <w:bottom w:type="dxa" w:w="80"/>
              <w:right w:type="dxa" w:w="100"/>
            </w:tcMar>
            <w:vAlign w:val="center"/>
          </w:tcPr>
          <w:p>
            <w:r>
              <w:rPr>
                <w:b/>
                <w:bCs/>
                <w:color w:val="FFFFFF"/>
                <w:sz w:val="19"/>
                <w:szCs w:val="19"/>
              </w:rPr>
              <w:t xml:space="preserve">Descripción original</w:t>
            </w:r>
          </w:p>
        </w:tc>
        <w:tc>
          <w:tcPr>
            <w:tcW w:type="dxa" w:w="2350"/>
            <w:shd w:fill="1c2f66" w:val="clear"/>
            <w:tcMar>
              <w:top w:type="dxa" w:w="80"/>
              <w:left w:type="dxa" w:w="100"/>
              <w:bottom w:type="dxa" w:w="80"/>
              <w:right w:type="dxa" w:w="100"/>
            </w:tcMar>
            <w:vAlign w:val="center"/>
          </w:tcPr>
          <w:p>
            <w:r>
              <w:rPr>
                <w:b/>
                <w:bCs/>
                <w:color w:val="FFFFFF"/>
                <w:sz w:val="19"/>
                <w:szCs w:val="19"/>
              </w:rPr>
              <w:t xml:space="preserve">Monto</w:t>
            </w:r>
          </w:p>
        </w:tc>
        <w:tc>
          <w:tcPr>
            <w:tcW w:type="dxa" w:w="2350"/>
            <w:shd w:fill="1c2f66" w:val="clear"/>
            <w:tcMar>
              <w:top w:type="dxa" w:w="80"/>
              <w:left w:type="dxa" w:w="100"/>
              <w:bottom w:type="dxa" w:w="80"/>
              <w:right w:type="dxa" w:w="100"/>
            </w:tcMar>
            <w:vAlign w:val="center"/>
          </w:tcPr>
          <w:p>
            <w:r>
              <w:rPr>
                <w:b/>
                <w:bCs/>
                <w:color w:val="FFFFFF"/>
                <w:sz w:val="19"/>
                <w:szCs w:val="19"/>
              </w:rPr>
              <w:t xml:space="preserve">Frecuencia</w:t>
            </w:r>
          </w:p>
        </w:tc>
      </w:tr>
      <w:tr>
        <w:tc>
          <w:tcPr>
            <w:tcW w:type="dxa" w:w="4650"/>
            <w:tcMar>
              <w:top w:type="dxa" w:w="80"/>
              <w:left w:type="dxa" w:w="100"/>
              <w:bottom w:type="dxa" w:w="80"/>
              <w:right w:type="dxa" w:w="100"/>
            </w:tcMar>
            <w:vAlign w:val="center"/>
          </w:tcPr>
          <w:p>
            <w:r>
              <w:rPr>
                <w:b w:val="false"/>
                <w:bCs w:val="false"/>
                <w:sz w:val="19"/>
                <w:szCs w:val="19"/>
              </w:rPr>
              <w:t xml:space="preserve">"S Aportaciones AEIS"</w:t>
            </w:r>
          </w:p>
        </w:tc>
        <w:tc>
          <w:tcPr>
            <w:tcW w:type="dxa" w:w="2350"/>
            <w:tcMar>
              <w:top w:type="dxa" w:w="80"/>
              <w:left w:type="dxa" w:w="100"/>
              <w:bottom w:type="dxa" w:w="80"/>
              <w:right w:type="dxa" w:w="100"/>
            </w:tcMar>
            <w:vAlign w:val="center"/>
          </w:tcPr>
          <w:p>
            <w:r>
              <w:rPr>
                <w:b w:val="false"/>
                <w:bCs w:val="false"/>
                <w:sz w:val="19"/>
                <w:szCs w:val="19"/>
              </w:rPr>
              <w:t xml:space="preserve">$19.99</w:t>
            </w:r>
          </w:p>
        </w:tc>
        <w:tc>
          <w:tcPr>
            <w:tcW w:type="dxa" w:w="2350"/>
            <w:tcMar>
              <w:top w:type="dxa" w:w="80"/>
              <w:left w:type="dxa" w:w="100"/>
              <w:bottom w:type="dxa" w:w="80"/>
              <w:right w:type="dxa" w:w="100"/>
            </w:tcMar>
            <w:vAlign w:val="center"/>
          </w:tcPr>
          <w:p>
            <w:r>
              <w:rPr>
                <w:b w:val="false"/>
                <w:bCs w:val="false"/>
                <w:sz w:val="19"/>
                <w:szCs w:val="19"/>
              </w:rPr>
              <w:t xml:space="preserve">4</w:t>
            </w:r>
          </w:p>
        </w:tc>
      </w:tr>
      <w:tr>
        <w:tc>
          <w:tcPr>
            <w:tcW w:type="dxa" w:w="4650"/>
            <w:tcMar>
              <w:top w:type="dxa" w:w="80"/>
              <w:left w:type="dxa" w:w="100"/>
              <w:bottom w:type="dxa" w:w="80"/>
              <w:right w:type="dxa" w:w="100"/>
            </w:tcMar>
            <w:vAlign w:val="center"/>
          </w:tcPr>
          <w:p>
            <w:r>
              <w:rPr>
                <w:b w:val="false"/>
                <w:bCs w:val="false"/>
                <w:sz w:val="19"/>
                <w:szCs w:val="19"/>
              </w:rPr>
              <w:t xml:space="preserve">"B Aportaciones AEIS"</w:t>
            </w:r>
          </w:p>
        </w:tc>
        <w:tc>
          <w:tcPr>
            <w:tcW w:type="dxa" w:w="2350"/>
            <w:tcMar>
              <w:top w:type="dxa" w:w="80"/>
              <w:left w:type="dxa" w:w="100"/>
              <w:bottom w:type="dxa" w:w="80"/>
              <w:right w:type="dxa" w:w="100"/>
            </w:tcMar>
            <w:vAlign w:val="center"/>
          </w:tcPr>
          <w:p>
            <w:r>
              <w:rPr>
                <w:b w:val="false"/>
                <w:bCs w:val="false"/>
                <w:sz w:val="19"/>
                <w:szCs w:val="19"/>
              </w:rPr>
              <w:t xml:space="preserve">$7.99</w:t>
            </w:r>
          </w:p>
        </w:tc>
        <w:tc>
          <w:tcPr>
            <w:tcW w:type="dxa" w:w="2350"/>
            <w:tcMar>
              <w:top w:type="dxa" w:w="80"/>
              <w:left w:type="dxa" w:w="100"/>
              <w:bottom w:type="dxa" w:w="80"/>
              <w:right w:type="dxa" w:w="100"/>
            </w:tcMar>
            <w:vAlign w:val="center"/>
          </w:tcPr>
          <w:p>
            <w:r>
              <w:rPr>
                <w:b w:val="false"/>
                <w:bCs w:val="false"/>
                <w:sz w:val="19"/>
                <w:szCs w:val="19"/>
              </w:rPr>
              <w:t xml:space="preserve">2</w:t>
            </w:r>
          </w:p>
        </w:tc>
      </w:tr>
      <w:tr>
        <w:tc>
          <w:tcPr>
            <w:tcW w:type="dxa" w:w="4650"/>
            <w:tcMar>
              <w:top w:type="dxa" w:w="80"/>
              <w:left w:type="dxa" w:w="100"/>
              <w:bottom w:type="dxa" w:w="80"/>
              <w:right w:type="dxa" w:w="100"/>
            </w:tcMar>
            <w:vAlign w:val="center"/>
          </w:tcPr>
          <w:p>
            <w:r>
              <w:rPr>
                <w:b w:val="false"/>
                <w:bCs w:val="false"/>
                <w:sz w:val="19"/>
                <w:szCs w:val="19"/>
              </w:rPr>
              <w:t xml:space="preserve">"Plan Aportaciones"</w:t>
            </w:r>
          </w:p>
        </w:tc>
        <w:tc>
          <w:tcPr>
            <w:tcW w:type="dxa" w:w="2350"/>
            <w:tcMar>
              <w:top w:type="dxa" w:w="80"/>
              <w:left w:type="dxa" w:w="100"/>
              <w:bottom w:type="dxa" w:w="80"/>
              <w:right w:type="dxa" w:w="100"/>
            </w:tcMar>
            <w:vAlign w:val="center"/>
          </w:tcPr>
          <w:p>
            <w:r>
              <w:rPr>
                <w:b w:val="false"/>
                <w:bCs w:val="false"/>
                <w:sz w:val="19"/>
                <w:szCs w:val="19"/>
              </w:rPr>
              <w:t xml:space="preserve">$35.00</w:t>
            </w:r>
          </w:p>
        </w:tc>
        <w:tc>
          <w:tcPr>
            <w:tcW w:type="dxa" w:w="2350"/>
            <w:tcMar>
              <w:top w:type="dxa" w:w="80"/>
              <w:left w:type="dxa" w:w="100"/>
              <w:bottom w:type="dxa" w:w="80"/>
              <w:right w:type="dxa" w:w="100"/>
            </w:tcMar>
            <w:vAlign w:val="center"/>
          </w:tcPr>
          <w:p>
            <w:r>
              <w:rPr>
                <w:b w:val="false"/>
                <w:bCs w:val="false"/>
                <w:sz w:val="19"/>
                <w:szCs w:val="19"/>
              </w:rPr>
              <w:t xml:space="preserve">2 (oct. 2025)</w:t>
            </w:r>
          </w:p>
        </w:tc>
      </w:tr>
      <w:tr>
        <w:tc>
          <w:tcPr>
            <w:tcW w:type="dxa" w:w="4650"/>
            <w:tcMar>
              <w:top w:type="dxa" w:w="80"/>
              <w:left w:type="dxa" w:w="100"/>
              <w:bottom w:type="dxa" w:w="80"/>
              <w:right w:type="dxa" w:w="100"/>
            </w:tcMar>
            <w:vAlign w:val="center"/>
          </w:tcPr>
          <w:p>
            <w:r>
              <w:rPr>
                <w:b w:val="false"/>
                <w:bCs w:val="false"/>
                <w:sz w:val="19"/>
                <w:szCs w:val="19"/>
              </w:rPr>
              <w:t xml:space="preserve">"Aportaciones?"</w:t>
            </w:r>
          </w:p>
        </w:tc>
        <w:tc>
          <w:tcPr>
            <w:tcW w:type="dxa" w:w="2350"/>
            <w:tcMar>
              <w:top w:type="dxa" w:w="80"/>
              <w:left w:type="dxa" w:w="100"/>
              <w:bottom w:type="dxa" w:w="80"/>
              <w:right w:type="dxa" w:w="100"/>
            </w:tcMar>
            <w:vAlign w:val="center"/>
          </w:tcPr>
          <w:p>
            <w:r>
              <w:rPr>
                <w:b w:val="false"/>
                <w:bCs w:val="false"/>
                <w:sz w:val="19"/>
                <w:szCs w:val="19"/>
              </w:rPr>
              <w:t xml:space="preserve">$24.99</w:t>
            </w:r>
          </w:p>
        </w:tc>
        <w:tc>
          <w:tcPr>
            <w:tcW w:type="dxa" w:w="2350"/>
            <w:tcMar>
              <w:top w:type="dxa" w:w="80"/>
              <w:left w:type="dxa" w:w="100"/>
              <w:bottom w:type="dxa" w:w="80"/>
              <w:right w:type="dxa" w:w="100"/>
            </w:tcMar>
            <w:vAlign w:val="center"/>
          </w:tcPr>
          <w:p>
            <w:r>
              <w:rPr>
                <w:b w:val="false"/>
                <w:bCs w:val="false"/>
                <w:sz w:val="19"/>
                <w:szCs w:val="19"/>
              </w:rPr>
              <w:t xml:space="preserve">1</w:t>
            </w:r>
          </w:p>
        </w:tc>
      </w:tr>
    </w:tbl>
    <w:p>
      <w:pPr>
        <w:spacing w:after="120"/>
      </w:pPr>
    </w:p>
    <w:p>
      <w:pPr>
        <w:spacing w:after="160"/>
      </w:pPr>
      <w:r>
        <w:t xml:space="preserve">El esquema de tiers ya cambió al menos una vez en la historia real de la asociación (de dos tiers S/B a un plan único de $35). Esto </w:t>
      </w:r>
      <w:r>
        <w:rPr>
          <w:b/>
          <w:bCs/>
        </w:rPr>
        <w:t xml:space="preserve">no resuelve</w:t>
      </w:r>
      <w:r>
        <w:t xml:space="preserve"> los montos actuales de los tres tiers vigentes (Bronce, Platino, Pantera) — son nombres nuevos que no aparecen en este dataset.</w:t>
      </w:r>
    </w:p>
    <w:p>
      <w:pPr>
        <w:spacing w:after="120"/>
      </w:pPr>
    </w:p>
    <w:p>
      <w:pPr>
        <w:pStyle w:val="Heading2"/>
        <w:spacing w:after="160" w:before="280"/>
      </w:pPr>
      <w:r>
        <w:rPr>
          <w:b/>
          <w:bCs/>
          <w:color w:val="0f6a52"/>
          <w:sz w:val="26"/>
          <w:szCs w:val="26"/>
        </w:rPr>
        <w:t xml:space="preserve">4.4 Modelo de precio de casilleros (corregido)</w:t>
      </w:r>
    </w:p>
    <w:p>
      <w:pPr>
        <w:spacing w:after="160"/>
      </w:pPr>
      <w:r>
        <w:t xml:space="preserve">La propuesta original de 4 tramos por disponibilidad (madrugadores $5 / estándar $6.50 / escasez $7 / liquidación $6) se </w:t>
      </w:r>
      <w:r>
        <w:rPr>
          <w:b/>
          <w:bCs/>
        </w:rPr>
        <w:t xml:space="preserve">descarta</w:t>
      </w:r>
      <w:r>
        <w:t xml:space="preserve"> — partía de una lectura incorrecta de lo pedido.</w:t>
      </w:r>
    </w:p>
    <w:p>
      <w:pPr>
        <w:spacing w:after="160"/>
      </w:pPr>
      <w:r>
        <w:rPr>
          <w:b/>
          <w:bCs/>
        </w:rPr>
        <w:t xml:space="preserve">Modelo real:</w:t>
      </w:r>
      <w:r>
        <w:t xml:space="preserve"> (1) precio único por semestre, ajustado por método de pago — $6.50 transferencia / $6.90 PayPhone; (2) el rango "$5 a $7" es el rango de sensibilidad financiera (VAN/TIR/PRI, ver Sección 5.4) — a cuánto fijar el precio semestral según cuánta utilidad se quiere, no una segmentación de la oferta.</w:t>
      </w:r>
    </w:p>
    <w:p>
      <w:pPr>
        <w:spacing w:after="120"/>
      </w:pPr>
    </w:p>
    <w:p>
      <w:pPr>
        <w:pStyle w:val="Heading2"/>
        <w:spacing w:after="160" w:before="280"/>
      </w:pPr>
      <w:r>
        <w:rPr>
          <w:b/>
          <w:bCs/>
          <w:color w:val="0f6a52"/>
          <w:sz w:val="26"/>
          <w:szCs w:val="26"/>
        </w:rPr>
        <w:t xml:space="preserve">4.5 Estructura de costos (egresos) — referencia</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6000"/>
        <w:gridCol w:w="3350"/>
      </w:tblGrid>
      <w:tr>
        <w:trPr>
          <w:tblHeader/>
        </w:trPr>
        <w:tc>
          <w:tcPr>
            <w:tcW w:type="dxa" w:w="6000"/>
            <w:shd w:fill="1c2f66" w:val="clear"/>
            <w:tcMar>
              <w:top w:type="dxa" w:w="80"/>
              <w:left w:type="dxa" w:w="100"/>
              <w:bottom w:type="dxa" w:w="80"/>
              <w:right w:type="dxa" w:w="100"/>
            </w:tcMar>
            <w:vAlign w:val="center"/>
          </w:tcPr>
          <w:p>
            <w:r>
              <w:rPr>
                <w:b/>
                <w:bCs/>
                <w:color w:val="FFFFFF"/>
                <w:sz w:val="19"/>
                <w:szCs w:val="19"/>
              </w:rPr>
              <w:t xml:space="preserve">Categoría de egreso</w:t>
            </w:r>
          </w:p>
        </w:tc>
        <w:tc>
          <w:tcPr>
            <w:tcW w:type="dxa" w:w="3350"/>
            <w:shd w:fill="1c2f66" w:val="clear"/>
            <w:tcMar>
              <w:top w:type="dxa" w:w="80"/>
              <w:left w:type="dxa" w:w="100"/>
              <w:bottom w:type="dxa" w:w="80"/>
              <w:right w:type="dxa" w:w="100"/>
            </w:tcMar>
            <w:vAlign w:val="center"/>
          </w:tcPr>
          <w:p>
            <w:r>
              <w:rPr>
                <w:b/>
                <w:bCs/>
                <w:color w:val="FFFFFF"/>
                <w:sz w:val="19"/>
                <w:szCs w:val="19"/>
              </w:rPr>
              <w:t xml:space="preserve">Total histórico</w:t>
            </w:r>
          </w:p>
        </w:tc>
      </w:tr>
      <w:tr>
        <w:tc>
          <w:tcPr>
            <w:tcW w:type="dxa" w:w="6000"/>
            <w:tcMar>
              <w:top w:type="dxa" w:w="80"/>
              <w:left w:type="dxa" w:w="100"/>
              <w:bottom w:type="dxa" w:w="80"/>
              <w:right w:type="dxa" w:w="100"/>
            </w:tcMar>
            <w:vAlign w:val="center"/>
          </w:tcPr>
          <w:p>
            <w:r>
              <w:rPr>
                <w:b w:val="false"/>
                <w:bCs w:val="false"/>
                <w:sz w:val="19"/>
                <w:szCs w:val="19"/>
              </w:rPr>
              <w:t xml:space="preserve">Eventos institucionales</w:t>
            </w:r>
          </w:p>
        </w:tc>
        <w:tc>
          <w:tcPr>
            <w:tcW w:type="dxa" w:w="3350"/>
            <w:tcMar>
              <w:top w:type="dxa" w:w="80"/>
              <w:left w:type="dxa" w:w="100"/>
              <w:bottom w:type="dxa" w:w="80"/>
              <w:right w:type="dxa" w:w="100"/>
            </w:tcMar>
            <w:vAlign w:val="center"/>
          </w:tcPr>
          <w:p>
            <w:r>
              <w:rPr>
                <w:b w:val="false"/>
                <w:bCs w:val="false"/>
                <w:sz w:val="19"/>
                <w:szCs w:val="19"/>
              </w:rPr>
              <w:t xml:space="preserve">$3,146.82</w:t>
            </w:r>
          </w:p>
        </w:tc>
      </w:tr>
      <w:tr>
        <w:tc>
          <w:tcPr>
            <w:tcW w:type="dxa" w:w="6000"/>
            <w:tcMar>
              <w:top w:type="dxa" w:w="80"/>
              <w:left w:type="dxa" w:w="100"/>
              <w:bottom w:type="dxa" w:w="80"/>
              <w:right w:type="dxa" w:w="100"/>
            </w:tcMar>
            <w:vAlign w:val="center"/>
          </w:tcPr>
          <w:p>
            <w:r>
              <w:rPr>
                <w:b w:val="false"/>
                <w:bCs w:val="false"/>
                <w:sz w:val="19"/>
                <w:szCs w:val="19"/>
              </w:rPr>
              <w:t xml:space="preserve">Torneos y deporte</w:t>
            </w:r>
          </w:p>
        </w:tc>
        <w:tc>
          <w:tcPr>
            <w:tcW w:type="dxa" w:w="3350"/>
            <w:tcMar>
              <w:top w:type="dxa" w:w="80"/>
              <w:left w:type="dxa" w:w="100"/>
              <w:bottom w:type="dxa" w:w="80"/>
              <w:right w:type="dxa" w:w="100"/>
            </w:tcMar>
            <w:vAlign w:val="center"/>
          </w:tcPr>
          <w:p>
            <w:r>
              <w:rPr>
                <w:b w:val="false"/>
                <w:bCs w:val="false"/>
                <w:sz w:val="19"/>
                <w:szCs w:val="19"/>
              </w:rPr>
              <w:t xml:space="preserve">$1,774.25</w:t>
            </w:r>
          </w:p>
        </w:tc>
      </w:tr>
      <w:tr>
        <w:tc>
          <w:tcPr>
            <w:tcW w:type="dxa" w:w="6000"/>
            <w:tcMar>
              <w:top w:type="dxa" w:w="80"/>
              <w:left w:type="dxa" w:w="100"/>
              <w:bottom w:type="dxa" w:w="80"/>
              <w:right w:type="dxa" w:w="100"/>
            </w:tcMar>
            <w:vAlign w:val="center"/>
          </w:tcPr>
          <w:p>
            <w:r>
              <w:rPr>
                <w:b w:val="false"/>
                <w:bCs w:val="false"/>
                <w:sz w:val="19"/>
                <w:szCs w:val="19"/>
              </w:rPr>
              <w:t xml:space="preserve">Alimentación y bienestar</w:t>
            </w:r>
          </w:p>
        </w:tc>
        <w:tc>
          <w:tcPr>
            <w:tcW w:type="dxa" w:w="3350"/>
            <w:tcMar>
              <w:top w:type="dxa" w:w="80"/>
              <w:left w:type="dxa" w:w="100"/>
              <w:bottom w:type="dxa" w:w="80"/>
              <w:right w:type="dxa" w:w="100"/>
            </w:tcMar>
            <w:vAlign w:val="center"/>
          </w:tcPr>
          <w:p>
            <w:r>
              <w:rPr>
                <w:b w:val="false"/>
                <w:bCs w:val="false"/>
                <w:sz w:val="19"/>
                <w:szCs w:val="19"/>
              </w:rPr>
              <w:t xml:space="preserve">$1,753.30</w:t>
            </w:r>
          </w:p>
        </w:tc>
      </w:tr>
      <w:tr>
        <w:tc>
          <w:tcPr>
            <w:tcW w:type="dxa" w:w="6000"/>
            <w:tcMar>
              <w:top w:type="dxa" w:w="80"/>
              <w:left w:type="dxa" w:w="100"/>
              <w:bottom w:type="dxa" w:w="80"/>
              <w:right w:type="dxa" w:w="100"/>
            </w:tcMar>
            <w:vAlign w:val="center"/>
          </w:tcPr>
          <w:p>
            <w:r>
              <w:rPr>
                <w:b w:val="false"/>
                <w:bCs w:val="false"/>
                <w:sz w:val="19"/>
                <w:szCs w:val="19"/>
              </w:rPr>
              <w:t xml:space="preserve">Infraestructura y remodelación</w:t>
            </w:r>
          </w:p>
        </w:tc>
        <w:tc>
          <w:tcPr>
            <w:tcW w:type="dxa" w:w="3350"/>
            <w:tcMar>
              <w:top w:type="dxa" w:w="80"/>
              <w:left w:type="dxa" w:w="100"/>
              <w:bottom w:type="dxa" w:w="80"/>
              <w:right w:type="dxa" w:w="100"/>
            </w:tcMar>
            <w:vAlign w:val="center"/>
          </w:tcPr>
          <w:p>
            <w:r>
              <w:rPr>
                <w:b w:val="false"/>
                <w:bCs w:val="false"/>
                <w:sz w:val="19"/>
                <w:szCs w:val="19"/>
              </w:rPr>
              <w:t xml:space="preserve">$1,481.34</w:t>
            </w:r>
          </w:p>
        </w:tc>
      </w:tr>
      <w:tr>
        <w:tc>
          <w:tcPr>
            <w:tcW w:type="dxa" w:w="6000"/>
            <w:tcMar>
              <w:top w:type="dxa" w:w="80"/>
              <w:left w:type="dxa" w:w="100"/>
              <w:bottom w:type="dxa" w:w="80"/>
              <w:right w:type="dxa" w:w="100"/>
            </w:tcMar>
            <w:vAlign w:val="center"/>
          </w:tcPr>
          <w:p>
            <w:r>
              <w:rPr>
                <w:b w:val="false"/>
                <w:bCs w:val="false"/>
                <w:sz w:val="19"/>
                <w:szCs w:val="19"/>
              </w:rPr>
              <w:t xml:space="preserve">Limpieza y mantenimiento</w:t>
            </w:r>
          </w:p>
        </w:tc>
        <w:tc>
          <w:tcPr>
            <w:tcW w:type="dxa" w:w="3350"/>
            <w:tcMar>
              <w:top w:type="dxa" w:w="80"/>
              <w:left w:type="dxa" w:w="100"/>
              <w:bottom w:type="dxa" w:w="80"/>
              <w:right w:type="dxa" w:w="100"/>
            </w:tcMar>
            <w:vAlign w:val="center"/>
          </w:tcPr>
          <w:p>
            <w:r>
              <w:rPr>
                <w:b w:val="false"/>
                <w:bCs w:val="false"/>
                <w:sz w:val="19"/>
                <w:szCs w:val="19"/>
              </w:rPr>
              <w:t xml:space="preserve">$1,199.59</w:t>
            </w:r>
          </w:p>
        </w:tc>
      </w:tr>
      <w:tr>
        <w:tc>
          <w:tcPr>
            <w:tcW w:type="dxa" w:w="6000"/>
            <w:tcMar>
              <w:top w:type="dxa" w:w="80"/>
              <w:left w:type="dxa" w:w="100"/>
              <w:bottom w:type="dxa" w:w="80"/>
              <w:right w:type="dxa" w:w="100"/>
            </w:tcMar>
            <w:vAlign w:val="center"/>
          </w:tcPr>
          <w:p>
            <w:r>
              <w:rPr>
                <w:b w:val="false"/>
                <w:bCs w:val="false"/>
                <w:sz w:val="19"/>
                <w:szCs w:val="19"/>
              </w:rPr>
              <w:t xml:space="preserve">Cursos y capacitación</w:t>
            </w:r>
          </w:p>
        </w:tc>
        <w:tc>
          <w:tcPr>
            <w:tcW w:type="dxa" w:w="3350"/>
            <w:tcMar>
              <w:top w:type="dxa" w:w="80"/>
              <w:left w:type="dxa" w:w="100"/>
              <w:bottom w:type="dxa" w:w="80"/>
              <w:right w:type="dxa" w:w="100"/>
            </w:tcMar>
            <w:vAlign w:val="center"/>
          </w:tcPr>
          <w:p>
            <w:r>
              <w:rPr>
                <w:b w:val="false"/>
                <w:bCs w:val="false"/>
                <w:sz w:val="19"/>
                <w:szCs w:val="19"/>
              </w:rPr>
              <w:t xml:space="preserve">$943.63</w:t>
            </w:r>
          </w:p>
        </w:tc>
      </w:tr>
      <w:tr>
        <w:tc>
          <w:tcPr>
            <w:tcW w:type="dxa" w:w="6000"/>
            <w:tcMar>
              <w:top w:type="dxa" w:w="80"/>
              <w:left w:type="dxa" w:w="100"/>
              <w:bottom w:type="dxa" w:w="80"/>
              <w:right w:type="dxa" w:w="100"/>
            </w:tcMar>
            <w:vAlign w:val="center"/>
          </w:tcPr>
          <w:p>
            <w:r>
              <w:rPr>
                <w:b w:val="false"/>
                <w:bCs w:val="false"/>
                <w:sz w:val="19"/>
                <w:szCs w:val="19"/>
              </w:rPr>
              <w:t xml:space="preserve">Juegos y tecnología</w:t>
            </w:r>
          </w:p>
        </w:tc>
        <w:tc>
          <w:tcPr>
            <w:tcW w:type="dxa" w:w="3350"/>
            <w:tcMar>
              <w:top w:type="dxa" w:w="80"/>
              <w:left w:type="dxa" w:w="100"/>
              <w:bottom w:type="dxa" w:w="80"/>
              <w:right w:type="dxa" w:w="100"/>
            </w:tcMar>
            <w:vAlign w:val="center"/>
          </w:tcPr>
          <w:p>
            <w:r>
              <w:rPr>
                <w:b w:val="false"/>
                <w:bCs w:val="false"/>
                <w:sz w:val="19"/>
                <w:szCs w:val="19"/>
              </w:rPr>
              <w:t xml:space="preserve">$717.92</w:t>
            </w:r>
          </w:p>
        </w:tc>
      </w:tr>
      <w:tr>
        <w:tc>
          <w:tcPr>
            <w:tcW w:type="dxa" w:w="6000"/>
            <w:tcMar>
              <w:top w:type="dxa" w:w="80"/>
              <w:left w:type="dxa" w:w="100"/>
              <w:bottom w:type="dxa" w:w="80"/>
              <w:right w:type="dxa" w:w="100"/>
            </w:tcMar>
            <w:vAlign w:val="center"/>
          </w:tcPr>
          <w:p>
            <w:r>
              <w:rPr>
                <w:b w:val="false"/>
                <w:bCs w:val="false"/>
                <w:sz w:val="19"/>
                <w:szCs w:val="19"/>
              </w:rPr>
              <w:t xml:space="preserve">Prendas, carnets y aportaciones ASO</w:t>
            </w:r>
          </w:p>
        </w:tc>
        <w:tc>
          <w:tcPr>
            <w:tcW w:type="dxa" w:w="3350"/>
            <w:tcMar>
              <w:top w:type="dxa" w:w="80"/>
              <w:left w:type="dxa" w:w="100"/>
              <w:bottom w:type="dxa" w:w="80"/>
              <w:right w:type="dxa" w:w="100"/>
            </w:tcMar>
            <w:vAlign w:val="center"/>
          </w:tcPr>
          <w:p>
            <w:r>
              <w:rPr>
                <w:b w:val="false"/>
                <w:bCs w:val="false"/>
                <w:sz w:val="19"/>
                <w:szCs w:val="19"/>
              </w:rPr>
              <w:t xml:space="preserve">$521.00</w:t>
            </w:r>
          </w:p>
        </w:tc>
      </w:tr>
      <w:tr>
        <w:tc>
          <w:tcPr>
            <w:tcW w:type="dxa" w:w="6000"/>
            <w:tcMar>
              <w:top w:type="dxa" w:w="80"/>
              <w:left w:type="dxa" w:w="100"/>
              <w:bottom w:type="dxa" w:w="80"/>
              <w:right w:type="dxa" w:w="100"/>
            </w:tcMar>
            <w:vAlign w:val="center"/>
          </w:tcPr>
          <w:p>
            <w:r>
              <w:rPr>
                <w:b w:val="false"/>
                <w:bCs w:val="false"/>
                <w:sz w:val="19"/>
                <w:szCs w:val="19"/>
              </w:rPr>
              <w:t xml:space="preserve">Materiales y compras</w:t>
            </w:r>
          </w:p>
        </w:tc>
        <w:tc>
          <w:tcPr>
            <w:tcW w:type="dxa" w:w="3350"/>
            <w:tcMar>
              <w:top w:type="dxa" w:w="80"/>
              <w:left w:type="dxa" w:w="100"/>
              <w:bottom w:type="dxa" w:w="80"/>
              <w:right w:type="dxa" w:w="100"/>
            </w:tcMar>
            <w:vAlign w:val="center"/>
          </w:tcPr>
          <w:p>
            <w:r>
              <w:rPr>
                <w:b w:val="false"/>
                <w:bCs w:val="false"/>
                <w:sz w:val="19"/>
                <w:szCs w:val="19"/>
              </w:rPr>
              <w:t xml:space="preserve">$515.05</w:t>
            </w:r>
          </w:p>
        </w:tc>
      </w:tr>
      <w:tr>
        <w:tc>
          <w:tcPr>
            <w:tcW w:type="dxa" w:w="6000"/>
            <w:tcMar>
              <w:top w:type="dxa" w:w="80"/>
              <w:left w:type="dxa" w:w="100"/>
              <w:bottom w:type="dxa" w:w="80"/>
              <w:right w:type="dxa" w:w="100"/>
            </w:tcMar>
            <w:vAlign w:val="center"/>
          </w:tcPr>
          <w:p>
            <w:r>
              <w:rPr>
                <w:b w:val="false"/>
                <w:bCs w:val="false"/>
                <w:sz w:val="19"/>
                <w:szCs w:val="19"/>
              </w:rPr>
              <w:t xml:space="preserve">Transporte</w:t>
            </w:r>
          </w:p>
        </w:tc>
        <w:tc>
          <w:tcPr>
            <w:tcW w:type="dxa" w:w="3350"/>
            <w:tcMar>
              <w:top w:type="dxa" w:w="80"/>
              <w:left w:type="dxa" w:w="100"/>
              <w:bottom w:type="dxa" w:w="80"/>
              <w:right w:type="dxa" w:w="100"/>
            </w:tcMar>
            <w:vAlign w:val="center"/>
          </w:tcPr>
          <w:p>
            <w:r>
              <w:rPr>
                <w:b w:val="false"/>
                <w:bCs w:val="false"/>
                <w:sz w:val="19"/>
                <w:szCs w:val="19"/>
              </w:rPr>
              <w:t xml:space="preserve">$264.61</w:t>
            </w:r>
          </w:p>
        </w:tc>
      </w:tr>
    </w:tbl>
    <w:p>
      <w:pPr>
        <w:spacing w:after="120"/>
      </w:pPr>
    </w:p>
    <w:p>
      <w:r>
        <w:br w:type="page"/>
      </w:r>
    </w:p>
    <w:p>
      <w:pPr>
        <w:pStyle w:val="Heading1"/>
        <w:spacing w:after="200" w:before="360"/>
      </w:pPr>
      <w:r>
        <w:rPr>
          <w:b/>
          <w:bCs/>
          <w:color w:val="1c2f66"/>
          <w:sz w:val="32"/>
          <w:szCs w:val="32"/>
        </w:rPr>
        <w:t xml:space="preserve">5. Anexo B — Alternativas Tecnológicas y Estimación de Costos</w:t>
      </w:r>
    </w:p>
    <w:p>
      <w:pPr>
        <w:spacing w:after="160"/>
      </w:pPr>
      <w:r>
        <w:rPr>
          <w:b/>
          <w:bCs/>
        </w:rPr>
        <w:t xml:space="preserve">Fuente:</w:t>
      </w:r>
      <w:r>
        <w:t xml:space="preserve"> `Propuesta.pdf` — "AEIS-APP: Alternatives Analysis &amp; Technical Cost Estimation", Escuela Politécnica Nacional, agosto de 2026, v1.0. Documento de 30 páginas con Project Charter, análisis de alternativas, matriz de costos y evaluación financiera (VAN/TIR/PRI), con evidencia de precios verificada.</w:t>
      </w:r>
    </w:p>
    <w:tbl>
      <w:tblPr>
        <w:tblW w:type="dxa" w:w="9350"/>
        <w:tblBorders>
          <w:top w:val="single" w:color="0f6a52" w:sz="8"/>
          <w:left w:val="single" w:color="0f6a52" w:sz="8"/>
          <w:bottom w:val="single" w:color="0f6a52" w:sz="8"/>
          <w:right w:val="single" w:color="0f6a52" w:sz="8"/>
          <w:insideH w:val="single" w:color="auto" w:sz="4"/>
          <w:insideV w:val="single" w:color="auto" w:sz="4"/>
        </w:tblBorders>
      </w:tblPr>
      <w:tblGrid>
        <w:gridCol w:w="100"/>
      </w:tblGrid>
      <w:tr>
        <w:tc>
          <w:tcPr>
            <w:shd w:fill="eef1f7" w:val="clear"/>
            <w:tcMar>
              <w:top w:type="dxa" w:w="160"/>
              <w:left w:type="dxa" w:w="200"/>
              <w:bottom w:type="dxa" w:w="160"/>
              <w:right w:type="dxa" w:w="200"/>
            </w:tcMar>
          </w:tcPr>
          <w:p>
            <w:r>
              <w:rPr>
                <w:sz w:val="20"/>
                <w:szCs w:val="20"/>
              </w:rPr>
              <w:t xml:space="preserve">Este documento queda como </w:t>
            </w:r>
            <w:r>
              <w:rPr>
                <w:b/>
                <w:bCs/>
                <w:sz w:val="20"/>
                <w:szCs w:val="20"/>
              </w:rPr>
              <w:t xml:space="preserve">input de referencia técnica y financiera</w:t>
            </w:r>
            <w:r>
              <w:rPr>
                <w:sz w:val="20"/>
                <w:szCs w:val="20"/>
              </w:rPr>
              <w:t xml:space="preserve">, no como mandato: donde contradice una decisión explícita del sponsor (stack, plazo), gana el sponsor. Donde aporta algo nuevo sin contradecir nada (KYC biométrico, clickwrap, DevSecOps, hosting), se adopta.</w:t>
            </w:r>
          </w:p>
        </w:tc>
      </w:tr>
    </w:tbl>
    <w:p>
      <w:pPr>
        <w:spacing w:after="120"/>
      </w:pPr>
    </w:p>
    <w:p>
      <w:pPr>
        <w:pStyle w:val="Heading2"/>
        <w:spacing w:after="160" w:before="280"/>
      </w:pPr>
      <w:r>
        <w:rPr>
          <w:b/>
          <w:bCs/>
          <w:color w:val="0f6a52"/>
          <w:sz w:val="26"/>
          <w:szCs w:val="26"/>
        </w:rPr>
        <w:t xml:space="preserve">5.1 Decisiones técnicas que propone el documento</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1900"/>
        <w:gridCol w:w="3800"/>
        <w:gridCol w:w="3650"/>
      </w:tblGrid>
      <w:tr>
        <w:trPr>
          <w:tblHeader/>
        </w:trPr>
        <w:tc>
          <w:tcPr>
            <w:tcW w:type="dxa" w:w="1900"/>
            <w:shd w:fill="1c2f66" w:val="clear"/>
            <w:tcMar>
              <w:top w:type="dxa" w:w="80"/>
              <w:left w:type="dxa" w:w="100"/>
              <w:bottom w:type="dxa" w:w="80"/>
              <w:right w:type="dxa" w:w="100"/>
            </w:tcMar>
            <w:vAlign w:val="center"/>
          </w:tcPr>
          <w:p>
            <w:r>
              <w:rPr>
                <w:b/>
                <w:bCs/>
                <w:color w:val="FFFFFF"/>
                <w:sz w:val="19"/>
                <w:szCs w:val="19"/>
              </w:rPr>
              <w:t xml:space="preserve">Dimensión</w:t>
            </w:r>
          </w:p>
        </w:tc>
        <w:tc>
          <w:tcPr>
            <w:tcW w:type="dxa" w:w="3800"/>
            <w:shd w:fill="1c2f66" w:val="clear"/>
            <w:tcMar>
              <w:top w:type="dxa" w:w="80"/>
              <w:left w:type="dxa" w:w="100"/>
              <w:bottom w:type="dxa" w:w="80"/>
              <w:right w:type="dxa" w:w="100"/>
            </w:tcMar>
            <w:vAlign w:val="center"/>
          </w:tcPr>
          <w:p>
            <w:r>
              <w:rPr>
                <w:b/>
                <w:bCs/>
                <w:color w:val="FFFFFF"/>
                <w:sz w:val="19"/>
                <w:szCs w:val="19"/>
              </w:rPr>
              <w:t xml:space="preserve">Decisión del documento</w:t>
            </w:r>
          </w:p>
        </w:tc>
        <w:tc>
          <w:tcPr>
            <w:tcW w:type="dxa" w:w="3650"/>
            <w:shd w:fill="1c2f66" w:val="clear"/>
            <w:tcMar>
              <w:top w:type="dxa" w:w="80"/>
              <w:left w:type="dxa" w:w="100"/>
              <w:bottom w:type="dxa" w:w="80"/>
              <w:right w:type="dxa" w:w="100"/>
            </w:tcMar>
            <w:vAlign w:val="center"/>
          </w:tcPr>
          <w:p>
            <w:r>
              <w:rPr>
                <w:b/>
                <w:bCs/>
                <w:color w:val="FFFFFF"/>
                <w:sz w:val="19"/>
                <w:szCs w:val="19"/>
              </w:rPr>
              <w:t xml:space="preserve">Decisión final del proyecto</w:t>
            </w:r>
          </w:p>
        </w:tc>
      </w:tr>
      <w:tr>
        <w:tc>
          <w:tcPr>
            <w:tcW w:type="dxa" w:w="1900"/>
            <w:tcMar>
              <w:top w:type="dxa" w:w="80"/>
              <w:left w:type="dxa" w:w="100"/>
              <w:bottom w:type="dxa" w:w="80"/>
              <w:right w:type="dxa" w:w="100"/>
            </w:tcMar>
            <w:vAlign w:val="center"/>
          </w:tcPr>
          <w:p>
            <w:r>
              <w:rPr>
                <w:b w:val="false"/>
                <w:bCs w:val="false"/>
                <w:sz w:val="19"/>
                <w:szCs w:val="19"/>
              </w:rPr>
              <w:t xml:space="preserve">Framework</w:t>
            </w:r>
          </w:p>
        </w:tc>
        <w:tc>
          <w:tcPr>
            <w:tcW w:type="dxa" w:w="3800"/>
            <w:tcMar>
              <w:top w:type="dxa" w:w="80"/>
              <w:left w:type="dxa" w:w="100"/>
              <w:bottom w:type="dxa" w:w="80"/>
              <w:right w:type="dxa" w:w="100"/>
            </w:tcMar>
            <w:vAlign w:val="center"/>
          </w:tcPr>
          <w:p>
            <w:r>
              <w:rPr>
                <w:b w:val="false"/>
                <w:bCs w:val="false"/>
                <w:sz w:val="19"/>
                <w:szCs w:val="19"/>
              </w:rPr>
              <w:t xml:space="preserve">SvelteKit</w:t>
            </w:r>
          </w:p>
        </w:tc>
        <w:tc>
          <w:tcPr>
            <w:tcW w:type="dxa" w:w="3650"/>
            <w:tcMar>
              <w:top w:type="dxa" w:w="80"/>
              <w:left w:type="dxa" w:w="100"/>
              <w:bottom w:type="dxa" w:w="80"/>
              <w:right w:type="dxa" w:w="100"/>
            </w:tcMar>
            <w:vAlign w:val="center"/>
          </w:tcPr>
          <w:p>
            <w:r>
              <w:rPr>
                <w:b w:val="false"/>
                <w:bCs w:val="false"/>
                <w:sz w:val="19"/>
                <w:szCs w:val="19"/>
              </w:rPr>
              <w:t xml:space="preserve">Se mantiene NestJS (decisión del sponsor)</w:t>
            </w:r>
          </w:p>
        </w:tc>
      </w:tr>
      <w:tr>
        <w:tc>
          <w:tcPr>
            <w:tcW w:type="dxa" w:w="1900"/>
            <w:tcMar>
              <w:top w:type="dxa" w:w="80"/>
              <w:left w:type="dxa" w:w="100"/>
              <w:bottom w:type="dxa" w:w="80"/>
              <w:right w:type="dxa" w:w="100"/>
            </w:tcMar>
            <w:vAlign w:val="center"/>
          </w:tcPr>
          <w:p>
            <w:r>
              <w:rPr>
                <w:b w:val="false"/>
                <w:bCs w:val="false"/>
                <w:sz w:val="19"/>
                <w:szCs w:val="19"/>
              </w:rPr>
              <w:t xml:space="preserve">Identidad</w:t>
            </w:r>
          </w:p>
        </w:tc>
        <w:tc>
          <w:tcPr>
            <w:tcW w:type="dxa" w:w="3800"/>
            <w:tcMar>
              <w:top w:type="dxa" w:w="80"/>
              <w:left w:type="dxa" w:w="100"/>
              <w:bottom w:type="dxa" w:w="80"/>
              <w:right w:type="dxa" w:w="100"/>
            </w:tcMar>
            <w:vAlign w:val="center"/>
          </w:tcPr>
          <w:p>
            <w:r>
              <w:rPr>
                <w:b w:val="false"/>
                <w:bCs w:val="false"/>
                <w:sz w:val="19"/>
                <w:szCs w:val="19"/>
              </w:rPr>
              <w:t xml:space="preserve">Keycloak self-hosted</w:t>
            </w:r>
          </w:p>
        </w:tc>
        <w:tc>
          <w:tcPr>
            <w:tcW w:type="dxa" w:w="3650"/>
            <w:tcMar>
              <w:top w:type="dxa" w:w="80"/>
              <w:left w:type="dxa" w:w="100"/>
              <w:bottom w:type="dxa" w:w="80"/>
              <w:right w:type="dxa" w:w="100"/>
            </w:tcMar>
            <w:vAlign w:val="center"/>
          </w:tcPr>
          <w:p>
            <w:r>
              <w:rPr>
                <w:b w:val="false"/>
                <w:bCs w:val="false"/>
                <w:sz w:val="19"/>
                <w:szCs w:val="19"/>
              </w:rPr>
              <w:t xml:space="preserve">Se mantiene Logto (decisión del sponsor)</w:t>
            </w:r>
          </w:p>
        </w:tc>
      </w:tr>
      <w:tr>
        <w:tc>
          <w:tcPr>
            <w:tcW w:type="dxa" w:w="1900"/>
            <w:tcMar>
              <w:top w:type="dxa" w:w="80"/>
              <w:left w:type="dxa" w:w="100"/>
              <w:bottom w:type="dxa" w:w="80"/>
              <w:right w:type="dxa" w:w="100"/>
            </w:tcMar>
            <w:vAlign w:val="center"/>
          </w:tcPr>
          <w:p>
            <w:r>
              <w:rPr>
                <w:b w:val="false"/>
                <w:bCs w:val="false"/>
                <w:sz w:val="19"/>
                <w:szCs w:val="19"/>
              </w:rPr>
              <w:t xml:space="preserve">Arquitectura</w:t>
            </w:r>
          </w:p>
        </w:tc>
        <w:tc>
          <w:tcPr>
            <w:tcW w:type="dxa" w:w="3800"/>
            <w:tcMar>
              <w:top w:type="dxa" w:w="80"/>
              <w:left w:type="dxa" w:w="100"/>
              <w:bottom w:type="dxa" w:w="80"/>
              <w:right w:type="dxa" w:w="100"/>
            </w:tcMar>
            <w:vAlign w:val="center"/>
          </w:tcPr>
          <w:p>
            <w:r>
              <w:rPr>
                <w:b w:val="false"/>
                <w:bCs w:val="false"/>
                <w:sz w:val="19"/>
                <w:szCs w:val="19"/>
              </w:rPr>
              <w:t xml:space="preserve">Monolito modular, migrar a microservicios después</w:t>
            </w:r>
          </w:p>
        </w:tc>
        <w:tc>
          <w:tcPr>
            <w:tcW w:type="dxa" w:w="3650"/>
            <w:tcMar>
              <w:top w:type="dxa" w:w="80"/>
              <w:left w:type="dxa" w:w="100"/>
              <w:bottom w:type="dxa" w:w="80"/>
              <w:right w:type="dxa" w:w="100"/>
            </w:tcMar>
            <w:vAlign w:val="center"/>
          </w:tcPr>
          <w:p>
            <w:r>
              <w:rPr>
                <w:b w:val="false"/>
                <w:bCs w:val="false"/>
                <w:sz w:val="19"/>
                <w:szCs w:val="19"/>
              </w:rPr>
              <w:t xml:space="preserve">Coincide — adoptado</w:t>
            </w:r>
          </w:p>
        </w:tc>
      </w:tr>
      <w:tr>
        <w:tc>
          <w:tcPr>
            <w:tcW w:type="dxa" w:w="1900"/>
            <w:tcMar>
              <w:top w:type="dxa" w:w="80"/>
              <w:left w:type="dxa" w:w="100"/>
              <w:bottom w:type="dxa" w:w="80"/>
              <w:right w:type="dxa" w:w="100"/>
            </w:tcMar>
            <w:vAlign w:val="center"/>
          </w:tcPr>
          <w:p>
            <w:r>
              <w:rPr>
                <w:b w:val="false"/>
                <w:bCs w:val="false"/>
                <w:sz w:val="19"/>
                <w:szCs w:val="19"/>
              </w:rPr>
              <w:t xml:space="preserve">Hosting</w:t>
            </w:r>
          </w:p>
        </w:tc>
        <w:tc>
          <w:tcPr>
            <w:tcW w:type="dxa" w:w="3800"/>
            <w:tcMar>
              <w:top w:type="dxa" w:w="80"/>
              <w:left w:type="dxa" w:w="100"/>
              <w:bottom w:type="dxa" w:w="80"/>
              <w:right w:type="dxa" w:w="100"/>
            </w:tcMar>
            <w:vAlign w:val="center"/>
          </w:tcPr>
          <w:p>
            <w:r>
              <w:rPr>
                <w:b w:val="false"/>
                <w:bCs w:val="false"/>
                <w:sz w:val="19"/>
                <w:szCs w:val="19"/>
              </w:rPr>
              <w:t xml:space="preserve">DigitalOcean Droplet (2 vCPU/4 GB)</w:t>
            </w:r>
          </w:p>
        </w:tc>
        <w:tc>
          <w:tcPr>
            <w:tcW w:type="dxa" w:w="3650"/>
            <w:tcMar>
              <w:top w:type="dxa" w:w="80"/>
              <w:left w:type="dxa" w:w="100"/>
              <w:bottom w:type="dxa" w:w="80"/>
              <w:right w:type="dxa" w:w="100"/>
            </w:tcMar>
            <w:vAlign w:val="center"/>
          </w:tcPr>
          <w:p>
            <w:r>
              <w:rPr>
                <w:b w:val="false"/>
                <w:bCs w:val="false"/>
                <w:sz w:val="19"/>
                <w:szCs w:val="19"/>
              </w:rPr>
              <w:t xml:space="preserve">Adoptado como base de cálculo de costo</w:t>
            </w:r>
          </w:p>
        </w:tc>
      </w:tr>
      <w:tr>
        <w:tc>
          <w:tcPr>
            <w:tcW w:type="dxa" w:w="1900"/>
            <w:tcMar>
              <w:top w:type="dxa" w:w="80"/>
              <w:left w:type="dxa" w:w="100"/>
              <w:bottom w:type="dxa" w:w="80"/>
              <w:right w:type="dxa" w:w="100"/>
            </w:tcMar>
            <w:vAlign w:val="center"/>
          </w:tcPr>
          <w:p>
            <w:r>
              <w:rPr>
                <w:b w:val="false"/>
                <w:bCs w:val="false"/>
                <w:sz w:val="19"/>
                <w:szCs w:val="19"/>
              </w:rPr>
              <w:t xml:space="preserve">Pago</w:t>
            </w:r>
          </w:p>
        </w:tc>
        <w:tc>
          <w:tcPr>
            <w:tcW w:type="dxa" w:w="3800"/>
            <w:tcMar>
              <w:top w:type="dxa" w:w="80"/>
              <w:left w:type="dxa" w:w="100"/>
              <w:bottom w:type="dxa" w:w="80"/>
              <w:right w:type="dxa" w:w="100"/>
            </w:tcMar>
            <w:vAlign w:val="center"/>
          </w:tcPr>
          <w:p>
            <w:r>
              <w:rPr>
                <w:b w:val="false"/>
                <w:bCs w:val="false"/>
                <w:sz w:val="19"/>
                <w:szCs w:val="19"/>
              </w:rPr>
              <w:t xml:space="preserve">PayPhone + transferencia/comprobante</w:t>
            </w:r>
          </w:p>
        </w:tc>
        <w:tc>
          <w:tcPr>
            <w:tcW w:type="dxa" w:w="3650"/>
            <w:tcMar>
              <w:top w:type="dxa" w:w="80"/>
              <w:left w:type="dxa" w:w="100"/>
              <w:bottom w:type="dxa" w:w="80"/>
              <w:right w:type="dxa" w:w="100"/>
            </w:tcMar>
            <w:vAlign w:val="center"/>
          </w:tcPr>
          <w:p>
            <w:r>
              <w:rPr>
                <w:b w:val="false"/>
                <w:bCs w:val="false"/>
                <w:sz w:val="19"/>
                <w:szCs w:val="19"/>
              </w:rPr>
              <w:t xml:space="preserve">Coincide — adoptado</w:t>
            </w:r>
          </w:p>
        </w:tc>
      </w:tr>
      <w:tr>
        <w:tc>
          <w:tcPr>
            <w:tcW w:type="dxa" w:w="1900"/>
            <w:tcMar>
              <w:top w:type="dxa" w:w="80"/>
              <w:left w:type="dxa" w:w="100"/>
              <w:bottom w:type="dxa" w:w="80"/>
              <w:right w:type="dxa" w:w="100"/>
            </w:tcMar>
            <w:vAlign w:val="center"/>
          </w:tcPr>
          <w:p>
            <w:r>
              <w:rPr>
                <w:b w:val="false"/>
                <w:bCs w:val="false"/>
                <w:sz w:val="19"/>
                <w:szCs w:val="19"/>
              </w:rPr>
              <w:t xml:space="preserve">OCR</w:t>
            </w:r>
          </w:p>
        </w:tc>
        <w:tc>
          <w:tcPr>
            <w:tcW w:type="dxa" w:w="3800"/>
            <w:tcMar>
              <w:top w:type="dxa" w:w="80"/>
              <w:left w:type="dxa" w:w="100"/>
              <w:bottom w:type="dxa" w:w="80"/>
              <w:right w:type="dxa" w:w="100"/>
            </w:tcMar>
            <w:vAlign w:val="center"/>
          </w:tcPr>
          <w:p>
            <w:r>
              <w:rPr>
                <w:b w:val="false"/>
                <w:bCs w:val="false"/>
                <w:sz w:val="19"/>
                <w:szCs w:val="19"/>
              </w:rPr>
              <w:t xml:space="preserve">Google Cloud Vision API</w:t>
            </w:r>
          </w:p>
        </w:tc>
        <w:tc>
          <w:tcPr>
            <w:tcW w:type="dxa" w:w="3650"/>
            <w:tcMar>
              <w:top w:type="dxa" w:w="80"/>
              <w:left w:type="dxa" w:w="100"/>
              <w:bottom w:type="dxa" w:w="80"/>
              <w:right w:type="dxa" w:w="100"/>
            </w:tcMar>
            <w:vAlign w:val="center"/>
          </w:tcPr>
          <w:p>
            <w:r>
              <w:rPr>
                <w:b w:val="false"/>
                <w:bCs w:val="false"/>
                <w:sz w:val="19"/>
                <w:szCs w:val="19"/>
              </w:rPr>
              <w:t xml:space="preserve">Adoptado</w:t>
            </w:r>
          </w:p>
        </w:tc>
      </w:tr>
      <w:tr>
        <w:tc>
          <w:tcPr>
            <w:tcW w:type="dxa" w:w="1900"/>
            <w:tcMar>
              <w:top w:type="dxa" w:w="80"/>
              <w:left w:type="dxa" w:w="100"/>
              <w:bottom w:type="dxa" w:w="80"/>
              <w:right w:type="dxa" w:w="100"/>
            </w:tcMar>
            <w:vAlign w:val="center"/>
          </w:tcPr>
          <w:p>
            <w:r>
              <w:rPr>
                <w:b w:val="false"/>
                <w:bCs w:val="false"/>
                <w:sz w:val="19"/>
                <w:szCs w:val="19"/>
              </w:rPr>
              <w:t xml:space="preserve">Verificación biométrica</w:t>
            </w:r>
          </w:p>
        </w:tc>
        <w:tc>
          <w:tcPr>
            <w:tcW w:type="dxa" w:w="3800"/>
            <w:tcMar>
              <w:top w:type="dxa" w:w="80"/>
              <w:left w:type="dxa" w:w="100"/>
              <w:bottom w:type="dxa" w:w="80"/>
              <w:right w:type="dxa" w:w="100"/>
            </w:tcMar>
            <w:vAlign w:val="center"/>
          </w:tcPr>
          <w:p>
            <w:r>
              <w:rPr>
                <w:b w:val="false"/>
                <w:bCs w:val="false"/>
                <w:sz w:val="19"/>
                <w:szCs w:val="19"/>
              </w:rPr>
              <w:t xml:space="preserve">CompreFace (Exadel, open source, self-hosted)</w:t>
            </w:r>
          </w:p>
        </w:tc>
        <w:tc>
          <w:tcPr>
            <w:tcW w:type="dxa" w:w="3650"/>
            <w:tcMar>
              <w:top w:type="dxa" w:w="80"/>
              <w:left w:type="dxa" w:w="100"/>
              <w:bottom w:type="dxa" w:w="80"/>
              <w:right w:type="dxa" w:w="100"/>
            </w:tcMar>
            <w:vAlign w:val="center"/>
          </w:tcPr>
          <w:p>
            <w:r>
              <w:rPr>
                <w:b w:val="false"/>
                <w:bCs w:val="false"/>
                <w:sz w:val="19"/>
                <w:szCs w:val="19"/>
              </w:rPr>
              <w:t xml:space="preserve">Nuevo — pendiente de confirmación</w:t>
            </w:r>
          </w:p>
        </w:tc>
      </w:tr>
      <w:tr>
        <w:tc>
          <w:tcPr>
            <w:tcW w:type="dxa" w:w="1900"/>
            <w:tcMar>
              <w:top w:type="dxa" w:w="80"/>
              <w:left w:type="dxa" w:w="100"/>
              <w:bottom w:type="dxa" w:w="80"/>
              <w:right w:type="dxa" w:w="100"/>
            </w:tcMar>
            <w:vAlign w:val="center"/>
          </w:tcPr>
          <w:p>
            <w:r>
              <w:rPr>
                <w:b w:val="false"/>
                <w:bCs w:val="false"/>
                <w:sz w:val="19"/>
                <w:szCs w:val="19"/>
              </w:rPr>
              <w:t xml:space="preserve">Contrato</w:t>
            </w:r>
          </w:p>
        </w:tc>
        <w:tc>
          <w:tcPr>
            <w:tcW w:type="dxa" w:w="3800"/>
            <w:tcMar>
              <w:top w:type="dxa" w:w="80"/>
              <w:left w:type="dxa" w:w="100"/>
              <w:bottom w:type="dxa" w:w="80"/>
              <w:right w:type="dxa" w:w="100"/>
            </w:tcMar>
            <w:vAlign w:val="center"/>
          </w:tcPr>
          <w:p>
            <w:r>
              <w:rPr>
                <w:b w:val="false"/>
                <w:bCs w:val="false"/>
                <w:sz w:val="19"/>
                <w:szCs w:val="19"/>
              </w:rPr>
              <w:t xml:space="preserve">Clickwrap + KYC, sin firma</w:t>
            </w:r>
          </w:p>
        </w:tc>
        <w:tc>
          <w:tcPr>
            <w:tcW w:type="dxa" w:w="3650"/>
            <w:tcMar>
              <w:top w:type="dxa" w:w="80"/>
              <w:left w:type="dxa" w:w="100"/>
              <w:bottom w:type="dxa" w:w="80"/>
              <w:right w:type="dxa" w:w="100"/>
            </w:tcMar>
            <w:vAlign w:val="center"/>
          </w:tcPr>
          <w:p>
            <w:r>
              <w:rPr>
                <w:b w:val="false"/>
                <w:bCs w:val="false"/>
                <w:sz w:val="19"/>
                <w:szCs w:val="19"/>
              </w:rPr>
              <w:t xml:space="preserve">Adoptado</w:t>
            </w:r>
          </w:p>
        </w:tc>
      </w:tr>
      <w:tr>
        <w:tc>
          <w:tcPr>
            <w:tcW w:type="dxa" w:w="1900"/>
            <w:tcMar>
              <w:top w:type="dxa" w:w="80"/>
              <w:left w:type="dxa" w:w="100"/>
              <w:bottom w:type="dxa" w:w="80"/>
              <w:right w:type="dxa" w:w="100"/>
            </w:tcMar>
            <w:vAlign w:val="center"/>
          </w:tcPr>
          <w:p>
            <w:r>
              <w:rPr>
                <w:b w:val="false"/>
                <w:bCs w:val="false"/>
                <w:sz w:val="19"/>
                <w:szCs w:val="19"/>
              </w:rPr>
              <w:t xml:space="preserve">DevSecOps</w:t>
            </w:r>
          </w:p>
        </w:tc>
        <w:tc>
          <w:tcPr>
            <w:tcW w:type="dxa" w:w="3800"/>
            <w:tcMar>
              <w:top w:type="dxa" w:w="80"/>
              <w:left w:type="dxa" w:w="100"/>
              <w:bottom w:type="dxa" w:w="80"/>
              <w:right w:type="dxa" w:w="100"/>
            </w:tcMar>
            <w:vAlign w:val="center"/>
          </w:tcPr>
          <w:p>
            <w:r>
              <w:rPr>
                <w:b w:val="false"/>
                <w:bCs w:val="false"/>
                <w:sz w:val="19"/>
                <w:szCs w:val="19"/>
              </w:rPr>
              <w:t xml:space="preserve">Stack 100% open source (SonarQube, Dependabot, Gitleaks, Trivy, OWASP ZAP, etc.)</w:t>
            </w:r>
          </w:p>
        </w:tc>
        <w:tc>
          <w:tcPr>
            <w:tcW w:type="dxa" w:w="3650"/>
            <w:tcMar>
              <w:top w:type="dxa" w:w="80"/>
              <w:left w:type="dxa" w:w="100"/>
              <w:bottom w:type="dxa" w:w="80"/>
              <w:right w:type="dxa" w:w="100"/>
            </w:tcMar>
            <w:vAlign w:val="center"/>
          </w:tcPr>
          <w:p>
            <w:r>
              <w:rPr>
                <w:b w:val="false"/>
                <w:bCs w:val="false"/>
                <w:sz w:val="19"/>
                <w:szCs w:val="19"/>
              </w:rPr>
              <w:t xml:space="preserve">Adoptado</w:t>
            </w:r>
          </w:p>
        </w:tc>
      </w:tr>
    </w:tbl>
    <w:p>
      <w:pPr>
        <w:spacing w:after="120"/>
      </w:pPr>
    </w:p>
    <w:p>
      <w:pPr>
        <w:pStyle w:val="Heading2"/>
        <w:spacing w:after="160" w:before="280"/>
      </w:pPr>
      <w:r>
        <w:rPr>
          <w:b/>
          <w:bCs/>
          <w:color w:val="0f6a52"/>
          <w:sz w:val="26"/>
          <w:szCs w:val="26"/>
        </w:rPr>
        <w:t xml:space="preserve">5.2 Ciclo de negocio real</w:t>
      </w:r>
    </w:p>
    <w:p>
      <w:pPr>
        <w:spacing w:after="160"/>
      </w:pPr>
      <w:r>
        <w:t xml:space="preserve">El cobro es </w:t>
      </w:r>
      <w:r>
        <w:rPr>
          <w:b/>
          <w:bCs/>
        </w:rPr>
        <w:t xml:space="preserve">semestral</w:t>
      </w:r>
      <w:r>
        <w:t xml:space="preserve">, no un "periodo" genérico. La EPN tiene 2 semestres al año, así que cada casillero genera como máximo 2 pagos de $6.50 al año.</w:t>
      </w:r>
    </w:p>
    <w:p>
      <w:pPr>
        <w:pStyle w:val="ListParagraph"/>
        <w:numPr>
          <w:ilvl w:val="0"/>
          <w:numId w:val="2"/>
        </w:numPr>
        <w:spacing w:after="100"/>
      </w:pPr>
      <w:r>
        <w:t xml:space="preserve">$702 = 108 casilleros × $6.50 = techo de UN semestre.</w:t>
      </w:r>
    </w:p>
    <w:p>
      <w:pPr>
        <w:pStyle w:val="ListParagraph"/>
        <w:numPr>
          <w:ilvl w:val="0"/>
          <w:numId w:val="2"/>
        </w:numPr>
        <w:spacing w:after="100"/>
      </w:pPr>
      <w:r>
        <w:t xml:space="preserve">Techo anual real (100% ocupación, ambos semestres) = $1,404.00.</w:t>
      </w:r>
    </w:p>
    <w:p>
      <w:pPr>
        <w:pStyle w:val="ListParagraph"/>
        <w:numPr>
          <w:ilvl w:val="0"/>
          <w:numId w:val="2"/>
        </w:numPr>
        <w:spacing w:after="100"/>
      </w:pPr>
      <w:r>
        <w:t xml:space="preserve">Dato real: 91 de 108 casilleros alquilados este semestre = 84.3% de ocupación = $591.50 de ingreso real, "dato provisto por la EPN".</w:t>
      </w:r>
    </w:p>
    <w:p>
      <w:pPr>
        <w:spacing w:after="120"/>
      </w:pPr>
    </w:p>
    <w:p>
      <w:pPr>
        <w:pStyle w:val="Heading2"/>
        <w:spacing w:after="160" w:before="280"/>
      </w:pPr>
      <w:r>
        <w:rPr>
          <w:b/>
          <w:bCs/>
          <w:color w:val="0f6a52"/>
          <w:sz w:val="26"/>
          <w:szCs w:val="26"/>
        </w:rPr>
        <w:t xml:space="preserve">5.3 CAPEX / OPEX y viabilidad financiera</w:t>
      </w:r>
    </w:p>
    <w:p>
      <w:pPr>
        <w:pStyle w:val="ListParagraph"/>
        <w:numPr>
          <w:ilvl w:val="0"/>
          <w:numId w:val="2"/>
        </w:numPr>
        <w:spacing w:after="100"/>
      </w:pPr>
      <w:r>
        <w:rPr>
          <w:b/>
          <w:bCs/>
        </w:rPr>
        <w:t xml:space="preserve">CAPEX real: USD 40.00</w:t>
      </w:r>
      <w:r>
        <w:t xml:space="preserve"> (dominio y registros) — el desarrollo lo hace la propia asociación sin costo de caja. El costo de mercado equivalente (USD 10,820.00) es solo referencia de costo de oportunidad.</w:t>
      </w:r>
    </w:p>
    <w:p>
      <w:pPr>
        <w:pStyle w:val="ListParagraph"/>
        <w:numPr>
          <w:ilvl w:val="0"/>
          <w:numId w:val="2"/>
        </w:numPr>
        <w:spacing w:after="100"/>
      </w:pPr>
      <w:r>
        <w:rPr>
          <w:b/>
          <w:bCs/>
        </w:rPr>
        <w:t xml:space="preserve">OPEX mínimo recomendado:</w:t>
      </w:r>
      <w:r>
        <w:t xml:space="preserve"> ~USD 180/año → VAN positivo de </w:t>
      </w:r>
      <w:r>
        <w:rPr>
          <w:b/>
          <w:bCs/>
        </w:rPr>
        <w:t xml:space="preserve">USD 3,818.01</w:t>
      </w:r>
      <w:r>
        <w:t xml:space="preserve"> a 5 años (12%), recuperación de la inversión en 0.04 años.</w:t>
      </w:r>
    </w:p>
    <w:p>
      <w:pPr>
        <w:pStyle w:val="ListParagraph"/>
        <w:numPr>
          <w:ilvl w:val="0"/>
          <w:numId w:val="2"/>
        </w:numPr>
        <w:spacing w:after="100"/>
      </w:pPr>
      <w:r>
        <w:rPr>
          <w:b/>
          <w:bCs/>
        </w:rPr>
        <w:t xml:space="preserve">OPEX a precio de mercado</w:t>
      </w:r>
      <w:r>
        <w:t xml:space="preserve"> (soporte pagado + pentest anual ~USD 1,500 desde el año 3) → VAN negativo de </w:t>
      </w:r>
      <w:r>
        <w:rPr>
          <w:b/>
          <w:bCs/>
        </w:rPr>
        <w:t xml:space="preserve">USD -3,674.78</w:t>
      </w:r>
      <w:r>
        <w:t xml:space="preserve">: el ingreso semestral no cubre ese nivel de gasto.</w:t>
      </w:r>
    </w:p>
    <w:p>
      <w:pPr>
        <w:pStyle w:val="ListParagraph"/>
        <w:numPr>
          <w:ilvl w:val="0"/>
          <w:numId w:val="2"/>
        </w:numPr>
        <w:spacing w:after="100"/>
      </w:pPr>
      <w:r>
        <w:t xml:space="preserve">Precio de equilibrio para cubrir el esquema completo sin trabajo voluntario: ≈ USD 11.80/semestre.</w:t>
      </w:r>
    </w:p>
    <w:p>
      <w:pPr>
        <w:spacing w:after="120"/>
      </w:pPr>
    </w:p>
    <w:p>
      <w:pPr>
        <w:pStyle w:val="Heading2"/>
        <w:spacing w:after="160" w:before="280"/>
      </w:pPr>
      <w:r>
        <w:rPr>
          <w:b/>
          <w:bCs/>
          <w:color w:val="0f6a52"/>
          <w:sz w:val="26"/>
          <w:szCs w:val="26"/>
        </w:rPr>
        <w:t xml:space="preserve">5.4 Sensibilidad de precio (VAN/TIR/PRI)</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2450"/>
        <w:gridCol w:w="3450"/>
        <w:gridCol w:w="3450"/>
      </w:tblGrid>
      <w:tr>
        <w:trPr>
          <w:tblHeader/>
        </w:trPr>
        <w:tc>
          <w:tcPr>
            <w:tcW w:type="dxa" w:w="2450"/>
            <w:shd w:fill="1c2f66" w:val="clear"/>
            <w:tcMar>
              <w:top w:type="dxa" w:w="80"/>
              <w:left w:type="dxa" w:w="100"/>
              <w:bottom w:type="dxa" w:w="80"/>
              <w:right w:type="dxa" w:w="100"/>
            </w:tcMar>
            <w:vAlign w:val="center"/>
          </w:tcPr>
          <w:p>
            <w:r>
              <w:rPr>
                <w:b/>
                <w:bCs/>
                <w:color w:val="FFFFFF"/>
                <w:sz w:val="19"/>
                <w:szCs w:val="19"/>
              </w:rPr>
              <w:t xml:space="preserve">Precio/semestre</w:t>
            </w:r>
          </w:p>
        </w:tc>
        <w:tc>
          <w:tcPr>
            <w:tcW w:type="dxa" w:w="3450"/>
            <w:shd w:fill="1c2f66" w:val="clear"/>
            <w:tcMar>
              <w:top w:type="dxa" w:w="80"/>
              <w:left w:type="dxa" w:w="100"/>
              <w:bottom w:type="dxa" w:w="80"/>
              <w:right w:type="dxa" w:w="100"/>
            </w:tcMar>
            <w:vAlign w:val="center"/>
          </w:tcPr>
          <w:p>
            <w:r>
              <w:rPr>
                <w:b/>
                <w:bCs/>
                <w:color w:val="FFFFFF"/>
                <w:sz w:val="19"/>
                <w:szCs w:val="19"/>
              </w:rPr>
              <w:t xml:space="preserve">VAN — OPEX mínimo</w:t>
            </w:r>
          </w:p>
        </w:tc>
        <w:tc>
          <w:tcPr>
            <w:tcW w:type="dxa" w:w="3450"/>
            <w:shd w:fill="1c2f66" w:val="clear"/>
            <w:tcMar>
              <w:top w:type="dxa" w:w="80"/>
              <w:left w:type="dxa" w:w="100"/>
              <w:bottom w:type="dxa" w:w="80"/>
              <w:right w:type="dxa" w:w="100"/>
            </w:tcMar>
            <w:vAlign w:val="center"/>
          </w:tcPr>
          <w:p>
            <w:r>
              <w:rPr>
                <w:b/>
                <w:bCs/>
                <w:color w:val="FFFFFF"/>
                <w:sz w:val="19"/>
                <w:szCs w:val="19"/>
              </w:rPr>
              <w:t xml:space="preserve">VAN — OPEX completo</w:t>
            </w:r>
          </w:p>
        </w:tc>
      </w:tr>
      <w:tr>
        <w:tc>
          <w:tcPr>
            <w:tcW w:type="dxa" w:w="2450"/>
            <w:tcMar>
              <w:top w:type="dxa" w:w="80"/>
              <w:left w:type="dxa" w:w="100"/>
              <w:bottom w:type="dxa" w:w="80"/>
              <w:right w:type="dxa" w:w="100"/>
            </w:tcMar>
            <w:vAlign w:val="center"/>
          </w:tcPr>
          <w:p>
            <w:r>
              <w:rPr>
                <w:b w:val="false"/>
                <w:bCs w:val="false"/>
                <w:sz w:val="19"/>
                <w:szCs w:val="19"/>
              </w:rPr>
              <w:t xml:space="preserve">$5.50</w:t>
            </w:r>
          </w:p>
        </w:tc>
        <w:tc>
          <w:tcPr>
            <w:tcW w:type="dxa" w:w="3450"/>
            <w:tcMar>
              <w:top w:type="dxa" w:w="80"/>
              <w:left w:type="dxa" w:w="100"/>
              <w:bottom w:type="dxa" w:w="80"/>
              <w:right w:type="dxa" w:w="100"/>
            </w:tcMar>
            <w:vAlign w:val="center"/>
          </w:tcPr>
          <w:p>
            <w:r>
              <w:rPr>
                <w:b w:val="false"/>
                <w:bCs w:val="false"/>
                <w:sz w:val="19"/>
                <w:szCs w:val="19"/>
              </w:rPr>
              <w:t xml:space="preserve">$3,124.65</w:t>
            </w:r>
          </w:p>
        </w:tc>
        <w:tc>
          <w:tcPr>
            <w:tcW w:type="dxa" w:w="3450"/>
            <w:tcMar>
              <w:top w:type="dxa" w:w="80"/>
              <w:left w:type="dxa" w:w="100"/>
              <w:bottom w:type="dxa" w:w="80"/>
              <w:right w:type="dxa" w:w="100"/>
            </w:tcMar>
            <w:vAlign w:val="center"/>
          </w:tcPr>
          <w:p>
            <w:r>
              <w:rPr>
                <w:b w:val="false"/>
                <w:bCs w:val="false"/>
                <w:sz w:val="19"/>
                <w:szCs w:val="19"/>
              </w:rPr>
              <w:t xml:space="preserve">-$4,368.15</w:t>
            </w:r>
          </w:p>
        </w:tc>
      </w:tr>
      <w:tr>
        <w:tc>
          <w:tcPr>
            <w:tcW w:type="dxa" w:w="2450"/>
            <w:tcMar>
              <w:top w:type="dxa" w:w="80"/>
              <w:left w:type="dxa" w:w="100"/>
              <w:bottom w:type="dxa" w:w="80"/>
              <w:right w:type="dxa" w:w="100"/>
            </w:tcMar>
            <w:vAlign w:val="center"/>
          </w:tcPr>
          <w:p>
            <w:r>
              <w:rPr>
                <w:b w:val="false"/>
                <w:bCs w:val="false"/>
                <w:sz w:val="19"/>
                <w:szCs w:val="19"/>
              </w:rPr>
              <w:t xml:space="preserve">$6.00</w:t>
            </w:r>
          </w:p>
        </w:tc>
        <w:tc>
          <w:tcPr>
            <w:tcW w:type="dxa" w:w="3450"/>
            <w:tcMar>
              <w:top w:type="dxa" w:w="80"/>
              <w:left w:type="dxa" w:w="100"/>
              <w:bottom w:type="dxa" w:w="80"/>
              <w:right w:type="dxa" w:w="100"/>
            </w:tcMar>
            <w:vAlign w:val="center"/>
          </w:tcPr>
          <w:p>
            <w:r>
              <w:rPr>
                <w:b w:val="false"/>
                <w:bCs w:val="false"/>
                <w:sz w:val="19"/>
                <w:szCs w:val="19"/>
              </w:rPr>
              <w:t xml:space="preserve">$3,471.33</w:t>
            </w:r>
          </w:p>
        </w:tc>
        <w:tc>
          <w:tcPr>
            <w:tcW w:type="dxa" w:w="3450"/>
            <w:tcMar>
              <w:top w:type="dxa" w:w="80"/>
              <w:left w:type="dxa" w:w="100"/>
              <w:bottom w:type="dxa" w:w="80"/>
              <w:right w:type="dxa" w:w="100"/>
            </w:tcMar>
            <w:vAlign w:val="center"/>
          </w:tcPr>
          <w:p>
            <w:r>
              <w:rPr>
                <w:b w:val="false"/>
                <w:bCs w:val="false"/>
                <w:sz w:val="19"/>
                <w:szCs w:val="19"/>
              </w:rPr>
              <w:t xml:space="preserve">-$4,021.47</w:t>
            </w:r>
          </w:p>
        </w:tc>
      </w:tr>
      <w:tr>
        <w:tc>
          <w:tcPr>
            <w:tcW w:type="dxa" w:w="2450"/>
            <w:tcMar>
              <w:top w:type="dxa" w:w="80"/>
              <w:left w:type="dxa" w:w="100"/>
              <w:bottom w:type="dxa" w:w="80"/>
              <w:right w:type="dxa" w:w="100"/>
            </w:tcMar>
            <w:vAlign w:val="center"/>
          </w:tcPr>
          <w:p>
            <w:r>
              <w:rPr>
                <w:b w:val="false"/>
                <w:bCs w:val="false"/>
                <w:sz w:val="19"/>
                <w:szCs w:val="19"/>
              </w:rPr>
              <w:t xml:space="preserve">$6.50 (actual)</w:t>
            </w:r>
          </w:p>
        </w:tc>
        <w:tc>
          <w:tcPr>
            <w:tcW w:type="dxa" w:w="3450"/>
            <w:tcMar>
              <w:top w:type="dxa" w:w="80"/>
              <w:left w:type="dxa" w:w="100"/>
              <w:bottom w:type="dxa" w:w="80"/>
              <w:right w:type="dxa" w:w="100"/>
            </w:tcMar>
            <w:vAlign w:val="center"/>
          </w:tcPr>
          <w:p>
            <w:r>
              <w:rPr>
                <w:b w:val="false"/>
                <w:bCs w:val="false"/>
                <w:sz w:val="19"/>
                <w:szCs w:val="19"/>
              </w:rPr>
              <w:t xml:space="preserve">$3,818.01</w:t>
            </w:r>
          </w:p>
        </w:tc>
        <w:tc>
          <w:tcPr>
            <w:tcW w:type="dxa" w:w="3450"/>
            <w:tcMar>
              <w:top w:type="dxa" w:w="80"/>
              <w:left w:type="dxa" w:w="100"/>
              <w:bottom w:type="dxa" w:w="80"/>
              <w:right w:type="dxa" w:w="100"/>
            </w:tcMar>
            <w:vAlign w:val="center"/>
          </w:tcPr>
          <w:p>
            <w:r>
              <w:rPr>
                <w:b w:val="false"/>
                <w:bCs w:val="false"/>
                <w:sz w:val="19"/>
                <w:szCs w:val="19"/>
              </w:rPr>
              <w:t xml:space="preserve">-$3,674.78</w:t>
            </w:r>
          </w:p>
        </w:tc>
      </w:tr>
      <w:tr>
        <w:tc>
          <w:tcPr>
            <w:tcW w:type="dxa" w:w="2450"/>
            <w:tcMar>
              <w:top w:type="dxa" w:w="80"/>
              <w:left w:type="dxa" w:w="100"/>
              <w:bottom w:type="dxa" w:w="80"/>
              <w:right w:type="dxa" w:w="100"/>
            </w:tcMar>
            <w:vAlign w:val="center"/>
          </w:tcPr>
          <w:p>
            <w:r>
              <w:rPr>
                <w:b w:val="false"/>
                <w:bCs w:val="false"/>
                <w:sz w:val="19"/>
                <w:szCs w:val="19"/>
              </w:rPr>
              <w:t xml:space="preserve">$7.00</w:t>
            </w:r>
          </w:p>
        </w:tc>
        <w:tc>
          <w:tcPr>
            <w:tcW w:type="dxa" w:w="3450"/>
            <w:tcMar>
              <w:top w:type="dxa" w:w="80"/>
              <w:left w:type="dxa" w:w="100"/>
              <w:bottom w:type="dxa" w:w="80"/>
              <w:right w:type="dxa" w:w="100"/>
            </w:tcMar>
            <w:vAlign w:val="center"/>
          </w:tcPr>
          <w:p>
            <w:r>
              <w:rPr>
                <w:b w:val="false"/>
                <w:bCs w:val="false"/>
                <w:sz w:val="19"/>
                <w:szCs w:val="19"/>
              </w:rPr>
              <w:t xml:space="preserve">$4,164.70</w:t>
            </w:r>
          </w:p>
        </w:tc>
        <w:tc>
          <w:tcPr>
            <w:tcW w:type="dxa" w:w="3450"/>
            <w:tcMar>
              <w:top w:type="dxa" w:w="80"/>
              <w:left w:type="dxa" w:w="100"/>
              <w:bottom w:type="dxa" w:w="80"/>
              <w:right w:type="dxa" w:w="100"/>
            </w:tcMar>
            <w:vAlign w:val="center"/>
          </w:tcPr>
          <w:p>
            <w:r>
              <w:rPr>
                <w:b w:val="false"/>
                <w:bCs w:val="false"/>
                <w:sz w:val="19"/>
                <w:szCs w:val="19"/>
              </w:rPr>
              <w:t xml:space="preserve">-$3,328.10</w:t>
            </w:r>
          </w:p>
        </w:tc>
      </w:tr>
      <w:tr>
        <w:tc>
          <w:tcPr>
            <w:tcW w:type="dxa" w:w="2450"/>
            <w:tcMar>
              <w:top w:type="dxa" w:w="80"/>
              <w:left w:type="dxa" w:w="100"/>
              <w:bottom w:type="dxa" w:w="80"/>
              <w:right w:type="dxa" w:w="100"/>
            </w:tcMar>
            <w:vAlign w:val="center"/>
          </w:tcPr>
          <w:p>
            <w:r>
              <w:rPr>
                <w:b w:val="false"/>
                <w:bCs w:val="false"/>
                <w:sz w:val="19"/>
                <w:szCs w:val="19"/>
              </w:rPr>
              <w:t xml:space="preserve">$7.50</w:t>
            </w:r>
          </w:p>
        </w:tc>
        <w:tc>
          <w:tcPr>
            <w:tcW w:type="dxa" w:w="3450"/>
            <w:tcMar>
              <w:top w:type="dxa" w:w="80"/>
              <w:left w:type="dxa" w:w="100"/>
              <w:bottom w:type="dxa" w:w="80"/>
              <w:right w:type="dxa" w:w="100"/>
            </w:tcMar>
            <w:vAlign w:val="center"/>
          </w:tcPr>
          <w:p>
            <w:r>
              <w:rPr>
                <w:b w:val="false"/>
                <w:bCs w:val="false"/>
                <w:sz w:val="19"/>
                <w:szCs w:val="19"/>
              </w:rPr>
              <w:t xml:space="preserve">$4,511.38</w:t>
            </w:r>
          </w:p>
        </w:tc>
        <w:tc>
          <w:tcPr>
            <w:tcW w:type="dxa" w:w="3450"/>
            <w:tcMar>
              <w:top w:type="dxa" w:w="80"/>
              <w:left w:type="dxa" w:w="100"/>
              <w:bottom w:type="dxa" w:w="80"/>
              <w:right w:type="dxa" w:w="100"/>
            </w:tcMar>
            <w:vAlign w:val="center"/>
          </w:tcPr>
          <w:p>
            <w:r>
              <w:rPr>
                <w:b w:val="false"/>
                <w:bCs w:val="false"/>
                <w:sz w:val="19"/>
                <w:szCs w:val="19"/>
              </w:rPr>
              <w:t xml:space="preserve">-$2,981.42</w:t>
            </w:r>
          </w:p>
        </w:tc>
      </w:tr>
      <w:tr>
        <w:tc>
          <w:tcPr>
            <w:tcW w:type="dxa" w:w="2450"/>
            <w:tcMar>
              <w:top w:type="dxa" w:w="80"/>
              <w:left w:type="dxa" w:w="100"/>
              <w:bottom w:type="dxa" w:w="80"/>
              <w:right w:type="dxa" w:w="100"/>
            </w:tcMar>
            <w:vAlign w:val="center"/>
          </w:tcPr>
          <w:p>
            <w:r>
              <w:rPr>
                <w:b w:val="false"/>
                <w:bCs w:val="false"/>
                <w:sz w:val="19"/>
                <w:szCs w:val="19"/>
              </w:rPr>
              <w:t xml:space="preserve">$8.00</w:t>
            </w:r>
          </w:p>
        </w:tc>
        <w:tc>
          <w:tcPr>
            <w:tcW w:type="dxa" w:w="3450"/>
            <w:tcMar>
              <w:top w:type="dxa" w:w="80"/>
              <w:left w:type="dxa" w:w="100"/>
              <w:bottom w:type="dxa" w:w="80"/>
              <w:right w:type="dxa" w:w="100"/>
            </w:tcMar>
            <w:vAlign w:val="center"/>
          </w:tcPr>
          <w:p>
            <w:r>
              <w:rPr>
                <w:b w:val="false"/>
                <w:bCs w:val="false"/>
                <w:sz w:val="19"/>
                <w:szCs w:val="19"/>
              </w:rPr>
              <w:t xml:space="preserve">$4,858.06</w:t>
            </w:r>
          </w:p>
        </w:tc>
        <w:tc>
          <w:tcPr>
            <w:tcW w:type="dxa" w:w="3450"/>
            <w:tcMar>
              <w:top w:type="dxa" w:w="80"/>
              <w:left w:type="dxa" w:w="100"/>
              <w:bottom w:type="dxa" w:w="80"/>
              <w:right w:type="dxa" w:w="100"/>
            </w:tcMar>
            <w:vAlign w:val="center"/>
          </w:tcPr>
          <w:p>
            <w:r>
              <w:rPr>
                <w:b w:val="false"/>
                <w:bCs w:val="false"/>
                <w:sz w:val="19"/>
                <w:szCs w:val="19"/>
              </w:rPr>
              <w:t xml:space="preserve">-$2,634.74</w:t>
            </w:r>
          </w:p>
        </w:tc>
      </w:tr>
      <w:tr>
        <w:tc>
          <w:tcPr>
            <w:tcW w:type="dxa" w:w="2450"/>
            <w:tcMar>
              <w:top w:type="dxa" w:w="80"/>
              <w:left w:type="dxa" w:w="100"/>
              <w:bottom w:type="dxa" w:w="80"/>
              <w:right w:type="dxa" w:w="100"/>
            </w:tcMar>
            <w:vAlign w:val="center"/>
          </w:tcPr>
          <w:p>
            <w:r>
              <w:rPr>
                <w:b w:val="false"/>
                <w:bCs w:val="false"/>
                <w:sz w:val="19"/>
                <w:szCs w:val="19"/>
              </w:rPr>
              <w:t xml:space="preserve">$8.50</w:t>
            </w:r>
          </w:p>
        </w:tc>
        <w:tc>
          <w:tcPr>
            <w:tcW w:type="dxa" w:w="3450"/>
            <w:tcMar>
              <w:top w:type="dxa" w:w="80"/>
              <w:left w:type="dxa" w:w="100"/>
              <w:bottom w:type="dxa" w:w="80"/>
              <w:right w:type="dxa" w:w="100"/>
            </w:tcMar>
            <w:vAlign w:val="center"/>
          </w:tcPr>
          <w:p>
            <w:r>
              <w:rPr>
                <w:b w:val="false"/>
                <w:bCs w:val="false"/>
                <w:sz w:val="19"/>
                <w:szCs w:val="19"/>
              </w:rPr>
              <w:t xml:space="preserve">$5,204.74</w:t>
            </w:r>
          </w:p>
        </w:tc>
        <w:tc>
          <w:tcPr>
            <w:tcW w:type="dxa" w:w="3450"/>
            <w:tcMar>
              <w:top w:type="dxa" w:w="80"/>
              <w:left w:type="dxa" w:w="100"/>
              <w:bottom w:type="dxa" w:w="80"/>
              <w:right w:type="dxa" w:w="100"/>
            </w:tcMar>
            <w:vAlign w:val="center"/>
          </w:tcPr>
          <w:p>
            <w:r>
              <w:rPr>
                <w:b w:val="false"/>
                <w:bCs w:val="false"/>
                <w:sz w:val="19"/>
                <w:szCs w:val="19"/>
              </w:rPr>
              <w:t xml:space="preserve">-$2,288.05</w:t>
            </w:r>
          </w:p>
        </w:tc>
      </w:tr>
      <w:tr>
        <w:tc>
          <w:tcPr>
            <w:tcW w:type="dxa" w:w="2450"/>
            <w:tcMar>
              <w:top w:type="dxa" w:w="80"/>
              <w:left w:type="dxa" w:w="100"/>
              <w:bottom w:type="dxa" w:w="80"/>
              <w:right w:type="dxa" w:w="100"/>
            </w:tcMar>
            <w:vAlign w:val="center"/>
          </w:tcPr>
          <w:p>
            <w:r>
              <w:rPr>
                <w:b w:val="false"/>
                <w:bCs w:val="false"/>
                <w:sz w:val="19"/>
                <w:szCs w:val="19"/>
              </w:rPr>
              <w:t xml:space="preserve">$9.00</w:t>
            </w:r>
          </w:p>
        </w:tc>
        <w:tc>
          <w:tcPr>
            <w:tcW w:type="dxa" w:w="3450"/>
            <w:tcMar>
              <w:top w:type="dxa" w:w="80"/>
              <w:left w:type="dxa" w:w="100"/>
              <w:bottom w:type="dxa" w:w="80"/>
              <w:right w:type="dxa" w:w="100"/>
            </w:tcMar>
            <w:vAlign w:val="center"/>
          </w:tcPr>
          <w:p>
            <w:r>
              <w:rPr>
                <w:b w:val="false"/>
                <w:bCs w:val="false"/>
                <w:sz w:val="19"/>
                <w:szCs w:val="19"/>
              </w:rPr>
              <w:t xml:space="preserve">$5,551.43</w:t>
            </w:r>
          </w:p>
        </w:tc>
        <w:tc>
          <w:tcPr>
            <w:tcW w:type="dxa" w:w="3450"/>
            <w:tcMar>
              <w:top w:type="dxa" w:w="80"/>
              <w:left w:type="dxa" w:w="100"/>
              <w:bottom w:type="dxa" w:w="80"/>
              <w:right w:type="dxa" w:w="100"/>
            </w:tcMar>
            <w:vAlign w:val="center"/>
          </w:tcPr>
          <w:p>
            <w:r>
              <w:rPr>
                <w:b w:val="false"/>
                <w:bCs w:val="false"/>
                <w:sz w:val="19"/>
                <w:szCs w:val="19"/>
              </w:rPr>
              <w:t xml:space="preserve">-$1,941.37</w:t>
            </w:r>
          </w:p>
        </w:tc>
      </w:tr>
    </w:tbl>
    <w:p>
      <w:pPr>
        <w:spacing w:after="120"/>
      </w:pPr>
    </w:p>
    <w:p>
      <w:pPr>
        <w:spacing w:after="160"/>
      </w:pPr>
      <w:r>
        <w:t xml:space="preserve">Cada +$1.00 de precio agrega ≈ $690-700 de VAN. Esto reemplaza la lógica de "tramos por disponibilidad": la decisión de precio es una decisión de </w:t>
      </w:r>
      <w:r>
        <w:rPr>
          <w:b/>
          <w:bCs/>
        </w:rPr>
        <w:t xml:space="preserve">utilidad objetivo</w:t>
      </w:r>
      <w:r>
        <w:t xml:space="preserve">, tomada una vez por semestre.</w:t>
      </w:r>
    </w:p>
    <w:p>
      <w:pPr>
        <w:spacing w:after="120"/>
      </w:pPr>
    </w:p>
    <w:p>
      <w:pPr>
        <w:pStyle w:val="Heading2"/>
        <w:spacing w:after="160" w:before="280"/>
      </w:pPr>
      <w:r>
        <w:rPr>
          <w:b/>
          <w:bCs/>
          <w:color w:val="0f6a52"/>
          <w:sz w:val="26"/>
          <w:szCs w:val="26"/>
        </w:rPr>
        <w:t xml:space="preserve">5.5 Conflictos resueltos frente a las decisiones del sponsor</w:t>
      </w:r>
    </w:p>
    <w:tbl>
      <w:tblPr>
        <w:tblW w:type="dxa" w:w="9350"/>
        <w:tblBorders>
          <w:top w:val="single" w:color="AAAAAA" w:sz="2"/>
          <w:left w:val="single" w:color="AAAAAA" w:sz="2"/>
          <w:bottom w:val="single" w:color="AAAAAA" w:sz="2"/>
          <w:right w:val="single" w:color="AAAAAA" w:sz="2"/>
          <w:insideH w:val="single" w:color="DDDDDD" w:sz="2"/>
          <w:insideV w:val="single" w:color="DDDDDD" w:sz="2"/>
        </w:tblBorders>
      </w:tblPr>
      <w:tblGrid>
        <w:gridCol w:w="500"/>
        <w:gridCol w:w="1750"/>
        <w:gridCol w:w="2050"/>
        <w:gridCol w:w="2350"/>
        <w:gridCol w:w="2700"/>
      </w:tblGrid>
      <w:tr>
        <w:trPr>
          <w:tblHeader/>
        </w:trPr>
        <w:tc>
          <w:tcPr>
            <w:tcW w:type="dxa" w:w="500"/>
            <w:shd w:fill="1c2f66" w:val="clear"/>
            <w:tcMar>
              <w:top w:type="dxa" w:w="80"/>
              <w:left w:type="dxa" w:w="100"/>
              <w:bottom w:type="dxa" w:w="80"/>
              <w:right w:type="dxa" w:w="100"/>
            </w:tcMar>
            <w:vAlign w:val="center"/>
          </w:tcPr>
          <w:p>
            <w:r>
              <w:rPr>
                <w:b/>
                <w:bCs/>
                <w:color w:val="FFFFFF"/>
                <w:sz w:val="19"/>
                <w:szCs w:val="19"/>
              </w:rPr>
              <w:t xml:space="preserve">#</w:t>
            </w:r>
          </w:p>
        </w:tc>
        <w:tc>
          <w:tcPr>
            <w:tcW w:type="dxa" w:w="1750"/>
            <w:shd w:fill="1c2f66" w:val="clear"/>
            <w:tcMar>
              <w:top w:type="dxa" w:w="80"/>
              <w:left w:type="dxa" w:w="100"/>
              <w:bottom w:type="dxa" w:w="80"/>
              <w:right w:type="dxa" w:w="100"/>
            </w:tcMar>
            <w:vAlign w:val="center"/>
          </w:tcPr>
          <w:p>
            <w:r>
              <w:rPr>
                <w:b/>
                <w:bCs/>
                <w:color w:val="FFFFFF"/>
                <w:sz w:val="19"/>
                <w:szCs w:val="19"/>
              </w:rPr>
              <w:t xml:space="preserve">Tema</w:t>
            </w:r>
          </w:p>
        </w:tc>
        <w:tc>
          <w:tcPr>
            <w:tcW w:type="dxa" w:w="2050"/>
            <w:shd w:fill="1c2f66" w:val="clear"/>
            <w:tcMar>
              <w:top w:type="dxa" w:w="80"/>
              <w:left w:type="dxa" w:w="100"/>
              <w:bottom w:type="dxa" w:w="80"/>
              <w:right w:type="dxa" w:w="100"/>
            </w:tcMar>
            <w:vAlign w:val="center"/>
          </w:tcPr>
          <w:p>
            <w:r>
              <w:rPr>
                <w:b/>
                <w:bCs/>
                <w:color w:val="FFFFFF"/>
                <w:sz w:val="19"/>
                <w:szCs w:val="19"/>
              </w:rPr>
              <w:t xml:space="preserve">Sponsor (chat)</w:t>
            </w:r>
          </w:p>
        </w:tc>
        <w:tc>
          <w:tcPr>
            <w:tcW w:type="dxa" w:w="2350"/>
            <w:shd w:fill="1c2f66" w:val="clear"/>
            <w:tcMar>
              <w:top w:type="dxa" w:w="80"/>
              <w:left w:type="dxa" w:w="100"/>
              <w:bottom w:type="dxa" w:w="80"/>
              <w:right w:type="dxa" w:w="100"/>
            </w:tcMar>
            <w:vAlign w:val="center"/>
          </w:tcPr>
          <w:p>
            <w:r>
              <w:rPr>
                <w:b/>
                <w:bCs/>
                <w:color w:val="FFFFFF"/>
                <w:sz w:val="19"/>
                <w:szCs w:val="19"/>
              </w:rPr>
              <w:t xml:space="preserve">Documento externo</w:t>
            </w:r>
          </w:p>
        </w:tc>
        <w:tc>
          <w:tcPr>
            <w:tcW w:type="dxa" w:w="2700"/>
            <w:shd w:fill="1c2f66" w:val="clear"/>
            <w:tcMar>
              <w:top w:type="dxa" w:w="80"/>
              <w:left w:type="dxa" w:w="100"/>
              <w:bottom w:type="dxa" w:w="80"/>
              <w:right w:type="dxa" w:w="100"/>
            </w:tcMar>
            <w:vAlign w:val="center"/>
          </w:tcPr>
          <w:p>
            <w:r>
              <w:rPr>
                <w:b/>
                <w:bCs/>
                <w:color w:val="FFFFFF"/>
                <w:sz w:val="19"/>
                <w:szCs w:val="19"/>
              </w:rPr>
              <w:t xml:space="preserve">Resolución</w:t>
            </w:r>
          </w:p>
        </w:tc>
      </w:tr>
      <w:tr>
        <w:tc>
          <w:tcPr>
            <w:tcW w:type="dxa" w:w="500"/>
            <w:tcMar>
              <w:top w:type="dxa" w:w="80"/>
              <w:left w:type="dxa" w:w="100"/>
              <w:bottom w:type="dxa" w:w="80"/>
              <w:right w:type="dxa" w:w="100"/>
            </w:tcMar>
            <w:vAlign w:val="center"/>
          </w:tcPr>
          <w:p>
            <w:r>
              <w:rPr>
                <w:b w:val="false"/>
                <w:bCs w:val="false"/>
                <w:sz w:val="19"/>
                <w:szCs w:val="19"/>
              </w:rPr>
              <w:t xml:space="preserve">1</w:t>
            </w:r>
          </w:p>
        </w:tc>
        <w:tc>
          <w:tcPr>
            <w:tcW w:type="dxa" w:w="1750"/>
            <w:tcMar>
              <w:top w:type="dxa" w:w="80"/>
              <w:left w:type="dxa" w:w="100"/>
              <w:bottom w:type="dxa" w:w="80"/>
              <w:right w:type="dxa" w:w="100"/>
            </w:tcMar>
            <w:vAlign w:val="center"/>
          </w:tcPr>
          <w:p>
            <w:r>
              <w:rPr>
                <w:b w:val="false"/>
                <w:bCs w:val="false"/>
                <w:sz w:val="19"/>
                <w:szCs w:val="19"/>
              </w:rPr>
              <w:t xml:space="preserve">Backend</w:t>
            </w:r>
          </w:p>
        </w:tc>
        <w:tc>
          <w:tcPr>
            <w:tcW w:type="dxa" w:w="2050"/>
            <w:tcMar>
              <w:top w:type="dxa" w:w="80"/>
              <w:left w:type="dxa" w:w="100"/>
              <w:bottom w:type="dxa" w:w="80"/>
              <w:right w:type="dxa" w:w="100"/>
            </w:tcMar>
            <w:vAlign w:val="center"/>
          </w:tcPr>
          <w:p>
            <w:r>
              <w:rPr>
                <w:b w:val="false"/>
                <w:bCs w:val="false"/>
                <w:sz w:val="19"/>
                <w:szCs w:val="19"/>
              </w:rPr>
              <w:t xml:space="preserve">NestJS</w:t>
            </w:r>
          </w:p>
        </w:tc>
        <w:tc>
          <w:tcPr>
            <w:tcW w:type="dxa" w:w="2350"/>
            <w:tcMar>
              <w:top w:type="dxa" w:w="80"/>
              <w:left w:type="dxa" w:w="100"/>
              <w:bottom w:type="dxa" w:w="80"/>
              <w:right w:type="dxa" w:w="100"/>
            </w:tcMar>
            <w:vAlign w:val="center"/>
          </w:tcPr>
          <w:p>
            <w:r>
              <w:rPr>
                <w:b w:val="false"/>
                <w:bCs w:val="false"/>
                <w:sz w:val="19"/>
                <w:szCs w:val="19"/>
              </w:rPr>
              <w:t xml:space="preserve">SvelteKit</w:t>
            </w:r>
          </w:p>
        </w:tc>
        <w:tc>
          <w:tcPr>
            <w:tcW w:type="dxa" w:w="2700"/>
            <w:tcMar>
              <w:top w:type="dxa" w:w="80"/>
              <w:left w:type="dxa" w:w="100"/>
              <w:bottom w:type="dxa" w:w="80"/>
              <w:right w:type="dxa" w:w="100"/>
            </w:tcMar>
            <w:vAlign w:val="center"/>
          </w:tcPr>
          <w:p>
            <w:r>
              <w:rPr>
                <w:b w:val="false"/>
                <w:bCs w:val="false"/>
                <w:sz w:val="19"/>
                <w:szCs w:val="19"/>
              </w:rPr>
              <w:t xml:space="preserve">NestJS — confirmado por el sponsor</w:t>
            </w:r>
          </w:p>
        </w:tc>
      </w:tr>
      <w:tr>
        <w:tc>
          <w:tcPr>
            <w:tcW w:type="dxa" w:w="500"/>
            <w:tcMar>
              <w:top w:type="dxa" w:w="80"/>
              <w:left w:type="dxa" w:w="100"/>
              <w:bottom w:type="dxa" w:w="80"/>
              <w:right w:type="dxa" w:w="100"/>
            </w:tcMar>
            <w:vAlign w:val="center"/>
          </w:tcPr>
          <w:p>
            <w:r>
              <w:rPr>
                <w:b w:val="false"/>
                <w:bCs w:val="false"/>
                <w:sz w:val="19"/>
                <w:szCs w:val="19"/>
              </w:rPr>
              <w:t xml:space="preserve">2</w:t>
            </w:r>
          </w:p>
        </w:tc>
        <w:tc>
          <w:tcPr>
            <w:tcW w:type="dxa" w:w="1750"/>
            <w:tcMar>
              <w:top w:type="dxa" w:w="80"/>
              <w:left w:type="dxa" w:w="100"/>
              <w:bottom w:type="dxa" w:w="80"/>
              <w:right w:type="dxa" w:w="100"/>
            </w:tcMar>
            <w:vAlign w:val="center"/>
          </w:tcPr>
          <w:p>
            <w:r>
              <w:rPr>
                <w:b w:val="false"/>
                <w:bCs w:val="false"/>
                <w:sz w:val="19"/>
                <w:szCs w:val="19"/>
              </w:rPr>
              <w:t xml:space="preserve">Identidad</w:t>
            </w:r>
          </w:p>
        </w:tc>
        <w:tc>
          <w:tcPr>
            <w:tcW w:type="dxa" w:w="2050"/>
            <w:tcMar>
              <w:top w:type="dxa" w:w="80"/>
              <w:left w:type="dxa" w:w="100"/>
              <w:bottom w:type="dxa" w:w="80"/>
              <w:right w:type="dxa" w:w="100"/>
            </w:tcMar>
            <w:vAlign w:val="center"/>
          </w:tcPr>
          <w:p>
            <w:r>
              <w:rPr>
                <w:b w:val="false"/>
                <w:bCs w:val="false"/>
                <w:sz w:val="19"/>
                <w:szCs w:val="19"/>
              </w:rPr>
              <w:t xml:space="preserve">Logto</w:t>
            </w:r>
          </w:p>
        </w:tc>
        <w:tc>
          <w:tcPr>
            <w:tcW w:type="dxa" w:w="2350"/>
            <w:tcMar>
              <w:top w:type="dxa" w:w="80"/>
              <w:left w:type="dxa" w:w="100"/>
              <w:bottom w:type="dxa" w:w="80"/>
              <w:right w:type="dxa" w:w="100"/>
            </w:tcMar>
            <w:vAlign w:val="center"/>
          </w:tcPr>
          <w:p>
            <w:r>
              <w:rPr>
                <w:b w:val="false"/>
                <w:bCs w:val="false"/>
                <w:sz w:val="19"/>
                <w:szCs w:val="19"/>
              </w:rPr>
              <w:t xml:space="preserve">Keycloak</w:t>
            </w:r>
          </w:p>
        </w:tc>
        <w:tc>
          <w:tcPr>
            <w:tcW w:type="dxa" w:w="2700"/>
            <w:tcMar>
              <w:top w:type="dxa" w:w="80"/>
              <w:left w:type="dxa" w:w="100"/>
              <w:bottom w:type="dxa" w:w="80"/>
              <w:right w:type="dxa" w:w="100"/>
            </w:tcMar>
            <w:vAlign w:val="center"/>
          </w:tcPr>
          <w:p>
            <w:r>
              <w:rPr>
                <w:b w:val="false"/>
                <w:bCs w:val="false"/>
                <w:sz w:val="19"/>
                <w:szCs w:val="19"/>
              </w:rPr>
              <w:t xml:space="preserve">Logto — confirmado por el sponsor</w:t>
            </w:r>
          </w:p>
        </w:tc>
      </w:tr>
      <w:tr>
        <w:tc>
          <w:tcPr>
            <w:tcW w:type="dxa" w:w="500"/>
            <w:tcMar>
              <w:top w:type="dxa" w:w="80"/>
              <w:left w:type="dxa" w:w="100"/>
              <w:bottom w:type="dxa" w:w="80"/>
              <w:right w:type="dxa" w:w="100"/>
            </w:tcMar>
            <w:vAlign w:val="center"/>
          </w:tcPr>
          <w:p>
            <w:r>
              <w:rPr>
                <w:b w:val="false"/>
                <w:bCs w:val="false"/>
                <w:sz w:val="19"/>
                <w:szCs w:val="19"/>
              </w:rPr>
              <w:t xml:space="preserve">3</w:t>
            </w:r>
          </w:p>
        </w:tc>
        <w:tc>
          <w:tcPr>
            <w:tcW w:type="dxa" w:w="1750"/>
            <w:tcMar>
              <w:top w:type="dxa" w:w="80"/>
              <w:left w:type="dxa" w:w="100"/>
              <w:bottom w:type="dxa" w:w="80"/>
              <w:right w:type="dxa" w:w="100"/>
            </w:tcMar>
            <w:vAlign w:val="center"/>
          </w:tcPr>
          <w:p>
            <w:r>
              <w:rPr>
                <w:b w:val="false"/>
                <w:bCs w:val="false"/>
                <w:sz w:val="19"/>
                <w:szCs w:val="19"/>
              </w:rPr>
              <w:t xml:space="preserve">Duración</w:t>
            </w:r>
          </w:p>
        </w:tc>
        <w:tc>
          <w:tcPr>
            <w:tcW w:type="dxa" w:w="2050"/>
            <w:tcMar>
              <w:top w:type="dxa" w:w="80"/>
              <w:left w:type="dxa" w:w="100"/>
              <w:bottom w:type="dxa" w:w="80"/>
              <w:right w:type="dxa" w:w="100"/>
            </w:tcMar>
            <w:vAlign w:val="center"/>
          </w:tcPr>
          <w:p>
            <w:r>
              <w:rPr>
                <w:b w:val="false"/>
                <w:bCs w:val="false"/>
                <w:sz w:val="19"/>
                <w:szCs w:val="19"/>
              </w:rPr>
              <w:t xml:space="preserve">3-4 semanas</w:t>
            </w:r>
          </w:p>
        </w:tc>
        <w:tc>
          <w:tcPr>
            <w:tcW w:type="dxa" w:w="2350"/>
            <w:tcMar>
              <w:top w:type="dxa" w:w="80"/>
              <w:left w:type="dxa" w:w="100"/>
              <w:bottom w:type="dxa" w:w="80"/>
              <w:right w:type="dxa" w:w="100"/>
            </w:tcMar>
            <w:vAlign w:val="center"/>
          </w:tcPr>
          <w:p>
            <w:r>
              <w:rPr>
                <w:b w:val="false"/>
                <w:bCs w:val="false"/>
                <w:sz w:val="19"/>
                <w:szCs w:val="19"/>
              </w:rPr>
              <w:t xml:space="preserve">3-4 meses</w:t>
            </w:r>
          </w:p>
        </w:tc>
        <w:tc>
          <w:tcPr>
            <w:tcW w:type="dxa" w:w="2700"/>
            <w:tcMar>
              <w:top w:type="dxa" w:w="80"/>
              <w:left w:type="dxa" w:w="100"/>
              <w:bottom w:type="dxa" w:w="80"/>
              <w:right w:type="dxa" w:w="100"/>
            </w:tcMar>
            <w:vAlign w:val="center"/>
          </w:tcPr>
          <w:p>
            <w:r>
              <w:rPr>
                <w:b w:val="false"/>
                <w:bCs w:val="false"/>
                <w:sz w:val="19"/>
                <w:szCs w:val="19"/>
              </w:rPr>
              <w:t xml:space="preserve">3 semanas — el documento externo estaba desactualizado</w:t>
            </w:r>
          </w:p>
        </w:tc>
      </w:tr>
      <w:tr>
        <w:tc>
          <w:tcPr>
            <w:tcW w:type="dxa" w:w="500"/>
            <w:tcMar>
              <w:top w:type="dxa" w:w="80"/>
              <w:left w:type="dxa" w:w="100"/>
              <w:bottom w:type="dxa" w:w="80"/>
              <w:right w:type="dxa" w:w="100"/>
            </w:tcMar>
            <w:vAlign w:val="center"/>
          </w:tcPr>
          <w:p>
            <w:r>
              <w:rPr>
                <w:b w:val="false"/>
                <w:bCs w:val="false"/>
                <w:sz w:val="19"/>
                <w:szCs w:val="19"/>
              </w:rPr>
              <w:t xml:space="preserve">4</w:t>
            </w:r>
          </w:p>
        </w:tc>
        <w:tc>
          <w:tcPr>
            <w:tcW w:type="dxa" w:w="1750"/>
            <w:tcMar>
              <w:top w:type="dxa" w:w="80"/>
              <w:left w:type="dxa" w:w="100"/>
              <w:bottom w:type="dxa" w:w="80"/>
              <w:right w:type="dxa" w:w="100"/>
            </w:tcMar>
            <w:vAlign w:val="center"/>
          </w:tcPr>
          <w:p>
            <w:r>
              <w:rPr>
                <w:b w:val="false"/>
                <w:bCs w:val="false"/>
                <w:sz w:val="19"/>
                <w:szCs w:val="19"/>
              </w:rPr>
              <w:t xml:space="preserve">Ingreso real</w:t>
            </w:r>
          </w:p>
        </w:tc>
        <w:tc>
          <w:tcPr>
            <w:tcW w:type="dxa" w:w="2050"/>
            <w:tcMar>
              <w:top w:type="dxa" w:w="80"/>
              <w:left w:type="dxa" w:w="100"/>
              <w:bottom w:type="dxa" w:w="80"/>
              <w:right w:type="dxa" w:w="100"/>
            </w:tcMar>
            <w:vAlign w:val="center"/>
          </w:tcPr>
          <w:p>
            <w:r>
              <w:rPr>
                <w:b w:val="false"/>
                <w:bCs w:val="false"/>
                <w:sz w:val="19"/>
                <w:szCs w:val="19"/>
              </w:rPr>
              <w:t xml:space="preserve">"$277 auditado"</w:t>
            </w:r>
          </w:p>
        </w:tc>
        <w:tc>
          <w:tcPr>
            <w:tcW w:type="dxa" w:w="2350"/>
            <w:tcMar>
              <w:top w:type="dxa" w:w="80"/>
              <w:left w:type="dxa" w:w="100"/>
              <w:bottom w:type="dxa" w:w="80"/>
              <w:right w:type="dxa" w:w="100"/>
            </w:tcMar>
            <w:vAlign w:val="center"/>
          </w:tcPr>
          <w:p>
            <w:r>
              <w:rPr>
                <w:b w:val="false"/>
                <w:bCs w:val="false"/>
                <w:sz w:val="19"/>
                <w:szCs w:val="19"/>
              </w:rPr>
              <w:t xml:space="preserve">$591.50 (91×$6.50)</w:t>
            </w:r>
          </w:p>
        </w:tc>
        <w:tc>
          <w:tcPr>
            <w:tcW w:type="dxa" w:w="2700"/>
            <w:tcMar>
              <w:top w:type="dxa" w:w="80"/>
              <w:left w:type="dxa" w:w="100"/>
              <w:bottom w:type="dxa" w:w="80"/>
              <w:right w:type="dxa" w:w="100"/>
            </w:tcMar>
            <w:vAlign w:val="center"/>
          </w:tcPr>
          <w:p>
            <w:r>
              <w:rPr>
                <w:b w:val="false"/>
                <w:bCs w:val="false"/>
                <w:sz w:val="19"/>
                <w:szCs w:val="19"/>
              </w:rPr>
              <w:t xml:space="preserve">277 = conteo de registros, no dólares; ver hallazgo del déficit de caja</w:t>
            </w:r>
          </w:p>
        </w:tc>
      </w:tr>
      <w:tr>
        <w:tc>
          <w:tcPr>
            <w:tcW w:type="dxa" w:w="500"/>
            <w:tcMar>
              <w:top w:type="dxa" w:w="80"/>
              <w:left w:type="dxa" w:w="100"/>
              <w:bottom w:type="dxa" w:w="80"/>
              <w:right w:type="dxa" w:w="100"/>
            </w:tcMar>
            <w:vAlign w:val="center"/>
          </w:tcPr>
          <w:p>
            <w:r>
              <w:rPr>
                <w:b w:val="false"/>
                <w:bCs w:val="false"/>
                <w:sz w:val="19"/>
                <w:szCs w:val="19"/>
              </w:rPr>
              <w:t xml:space="preserve">5</w:t>
            </w:r>
          </w:p>
        </w:tc>
        <w:tc>
          <w:tcPr>
            <w:tcW w:type="dxa" w:w="1750"/>
            <w:tcMar>
              <w:top w:type="dxa" w:w="80"/>
              <w:left w:type="dxa" w:w="100"/>
              <w:bottom w:type="dxa" w:w="80"/>
              <w:right w:type="dxa" w:w="100"/>
            </w:tcMar>
            <w:vAlign w:val="center"/>
          </w:tcPr>
          <w:p>
            <w:r>
              <w:rPr>
                <w:b w:val="false"/>
                <w:bCs w:val="false"/>
                <w:sz w:val="19"/>
                <w:szCs w:val="19"/>
              </w:rPr>
              <w:t xml:space="preserve">Precio de casilleros</w:t>
            </w:r>
          </w:p>
        </w:tc>
        <w:tc>
          <w:tcPr>
            <w:tcW w:type="dxa" w:w="2050"/>
            <w:tcMar>
              <w:top w:type="dxa" w:w="80"/>
              <w:left w:type="dxa" w:w="100"/>
              <w:bottom w:type="dxa" w:w="80"/>
              <w:right w:type="dxa" w:w="100"/>
            </w:tcMar>
            <w:vAlign w:val="center"/>
          </w:tcPr>
          <w:p>
            <w:r>
              <w:rPr>
                <w:b w:val="false"/>
                <w:bCs w:val="false"/>
                <w:sz w:val="19"/>
                <w:szCs w:val="19"/>
              </w:rPr>
              <w:t xml:space="preserve">Bandas $5-$7</w:t>
            </w:r>
          </w:p>
        </w:tc>
        <w:tc>
          <w:tcPr>
            <w:tcW w:type="dxa" w:w="2350"/>
            <w:tcMar>
              <w:top w:type="dxa" w:w="80"/>
              <w:left w:type="dxa" w:w="100"/>
              <w:bottom w:type="dxa" w:w="80"/>
              <w:right w:type="dxa" w:w="100"/>
            </w:tcMar>
            <w:vAlign w:val="center"/>
          </w:tcPr>
          <w:p>
            <w:r>
              <w:rPr>
                <w:b w:val="false"/>
                <w:bCs w:val="false"/>
                <w:sz w:val="19"/>
                <w:szCs w:val="19"/>
              </w:rPr>
              <w:t xml:space="preserve">Precio por método de pago + sensibilidad VAN</w:t>
            </w:r>
          </w:p>
        </w:tc>
        <w:tc>
          <w:tcPr>
            <w:tcW w:type="dxa" w:w="2700"/>
            <w:tcMar>
              <w:top w:type="dxa" w:w="80"/>
              <w:left w:type="dxa" w:w="100"/>
              <w:bottom w:type="dxa" w:w="80"/>
              <w:right w:type="dxa" w:w="100"/>
            </w:tcMar>
            <w:vAlign w:val="center"/>
          </w:tcPr>
          <w:p>
            <w:r>
              <w:rPr>
                <w:b w:val="false"/>
                <w:bCs w:val="false"/>
                <w:sz w:val="19"/>
                <w:szCs w:val="19"/>
              </w:rPr>
              <w:t xml:space="preserve">Precio único por semestre por utilidad objetivo — cerrado</w:t>
            </w:r>
          </w:p>
        </w:tc>
      </w:tr>
    </w:tbl>
    <w:p>
      <w:pPr>
        <w:spacing w:after="120"/>
      </w:pPr>
    </w:p>
    <w:p>
      <w:pPr>
        <w:pStyle w:val="Heading2"/>
        <w:spacing w:after="160" w:before="280"/>
      </w:pPr>
      <w:r>
        <w:rPr>
          <w:b/>
          <w:bCs/>
          <w:color w:val="0f6a52"/>
          <w:sz w:val="26"/>
          <w:szCs w:val="26"/>
        </w:rPr>
        <w:t xml:space="preserve">5.6 Costo de infraestructura del stack confirmado</w:t>
      </w:r>
    </w:p>
    <w:p>
      <w:pPr>
        <w:spacing w:after="160"/>
      </w:pPr>
      <w:r>
        <w:t xml:space="preserve">El documento externo no calculó la combinación NestJS + Logto exacta (solo calculó SvelteKit/Next.js con Logto), pero su propio análisis de RAM establece que todas las apps Node.js (SvelteKit, Next.js, NestJS) tienen un footprint equivalente (150-350 MB), y el costo de infraestructura no varía por framework a esta escala — solo por proveedor de hosting y de identidad.</w:t>
      </w:r>
    </w:p>
    <w:tbl>
      <w:tblPr>
        <w:tblW w:type="dxa" w:w="9350"/>
        <w:tblBorders>
          <w:top w:val="single" w:color="0f6a52" w:sz="8"/>
          <w:left w:val="single" w:color="0f6a52" w:sz="8"/>
          <w:bottom w:val="single" w:color="0f6a52" w:sz="8"/>
          <w:right w:val="single" w:color="0f6a52" w:sz="8"/>
          <w:insideH w:val="single" w:color="auto" w:sz="4"/>
          <w:insideV w:val="single" w:color="auto" w:sz="4"/>
        </w:tblBorders>
      </w:tblPr>
      <w:tblGrid>
        <w:gridCol w:w="100"/>
      </w:tblGrid>
      <w:tr>
        <w:tc>
          <w:tcPr>
            <w:shd w:fill="eef1f7" w:val="clear"/>
            <w:tcMar>
              <w:top w:type="dxa" w:w="160"/>
              <w:left w:type="dxa" w:w="200"/>
              <w:bottom w:type="dxa" w:w="160"/>
              <w:right w:type="dxa" w:w="200"/>
            </w:tcMar>
          </w:tcPr>
          <w:p>
            <w:r>
              <w:rPr>
                <w:b/>
                <w:bCs/>
                <w:sz w:val="20"/>
                <w:szCs w:val="20"/>
              </w:rPr>
              <w:t xml:space="preserve">Costo mensual confirmado — NestJS + Logto (Cloud Free o self-hosted OSS) + DigitalOcean Droplet (2 vCPU/2 GB): ≈ USD 27.60/mes.</w:t>
            </w:r>
            <w:r>
              <w:rPr>
                <w:sz w:val="20"/>
                <w:szCs w:val="20"/>
              </w:rPr>
              <w:t xml:space="preserve">
Droplet $18.00 + backups $3.60 + almacenamiento (Spaces) $5.00 + dominio $1.00 + Logto $0.00. Esta es la cifra de OPEX de infraestructura que se repite como output de costo en cada fase del proyecto (Requisitos, Arquitectura, Implementación).</w:t>
            </w:r>
          </w:p>
        </w:tc>
      </w:tr>
    </w:tbl>
    <w:p>
      <w:pPr>
        <w:spacing w:after="120"/>
      </w:pPr>
    </w:p>
    <w:p>
      <w:pPr>
        <w:pStyle w:val="Heading2"/>
        <w:spacing w:after="160" w:before="280"/>
      </w:pPr>
      <w:r>
        <w:rPr>
          <w:b/>
          <w:bCs/>
          <w:color w:val="0f6a52"/>
          <w:sz w:val="26"/>
          <w:szCs w:val="26"/>
        </w:rPr>
        <w:t xml:space="preserve">5.7 Hallazgo de negocio: déficit de caja no explicado</w:t>
      </w:r>
    </w:p>
    <w:p>
      <w:pPr>
        <w:spacing w:after="160"/>
      </w:pPr>
      <w:r>
        <w:t xml:space="preserve">Al aclarar el origen del "$277", el sponsor reveló algo con más peso que una cifra: de </w:t>
      </w:r>
      <w:r>
        <w:rPr>
          <w:b/>
          <w:bCs/>
        </w:rPr>
        <w:t xml:space="preserve">277 registros</w:t>
      </w:r>
      <w:r>
        <w:t xml:space="preserve"> del proceso de alquiler, solo </w:t>
      </w:r>
      <w:r>
        <w:rPr>
          <w:b/>
          <w:bCs/>
        </w:rPr>
        <w:t xml:space="preserve">91 corresponden a casilleros efectivamente alquilados</w:t>
      </w:r>
      <w:r>
        <w:t xml:space="preserve">, y existe un </w:t>
      </w:r>
      <w:r>
        <w:rPr>
          <w:b/>
          <w:bCs/>
        </w:rPr>
        <w:t xml:space="preserve">déficit de caja cuyo origen la directiva no tiene identificado</w:t>
      </w:r>
      <w:r>
        <w:t xml:space="preserve"> — sin descartar manejo indebido de fondos ni error puramente operativo. Esto sube la trazabilidad/auditoría a requisito Must del proyecto (ver Sección 3.3).</w:t>
      </w:r>
    </w:p>
    <w:p>
      <w:pPr>
        <w:spacing w:after="120"/>
      </w:pPr>
    </w:p>
    <w:p>
      <w:r>
        <w:br w:type="page"/>
      </w:r>
    </w:p>
    <w:p>
      <w:pPr>
        <w:pStyle w:val="Heading1"/>
        <w:spacing w:after="200" w:before="360"/>
      </w:pPr>
      <w:r>
        <w:rPr>
          <w:b/>
          <w:bCs/>
          <w:color w:val="1c2f66"/>
          <w:sz w:val="32"/>
          <w:szCs w:val="32"/>
        </w:rPr>
        <w:t xml:space="preserve">6. Conclusiones y Próximos Pasos</w:t>
      </w:r>
    </w:p>
    <w:p>
      <w:pPr>
        <w:pStyle w:val="Heading3"/>
        <w:spacing w:after="120" w:before="220"/>
      </w:pPr>
      <w:r>
        <w:rPr>
          <w:b/>
          <w:bCs/>
          <w:sz w:val="23"/>
          <w:szCs w:val="23"/>
        </w:rPr>
        <w:t xml:space="preserve">Decisiones cerradas</w:t>
      </w:r>
    </w:p>
    <w:p>
      <w:pPr>
        <w:pStyle w:val="ListParagraph"/>
        <w:numPr>
          <w:ilvl w:val="0"/>
          <w:numId w:val="2"/>
        </w:numPr>
        <w:spacing w:after="100"/>
      </w:pPr>
      <w:r>
        <w:t xml:space="preserve">Stack: </w:t>
      </w:r>
      <w:r>
        <w:rPr>
          <w:b/>
          <w:bCs/>
        </w:rPr>
        <w:t xml:space="preserve">NestJS + Logto + DigitalOcean</w:t>
      </w:r>
      <w:r>
        <w:t xml:space="preserve"> (≈ $27.60/mes de infraestructura).</w:t>
      </w:r>
    </w:p>
    <w:p>
      <w:pPr>
        <w:pStyle w:val="ListParagraph"/>
        <w:numPr>
          <w:ilvl w:val="0"/>
          <w:numId w:val="2"/>
        </w:numPr>
        <w:spacing w:after="100"/>
      </w:pPr>
      <w:r>
        <w:t xml:space="preserve">Plazo: </w:t>
      </w:r>
      <w:r>
        <w:rPr>
          <w:b/>
          <w:bCs/>
        </w:rPr>
        <w:t xml:space="preserve">3 semanas</w:t>
      </w:r>
      <w:r>
        <w:t xml:space="preserve">.</w:t>
      </w:r>
    </w:p>
    <w:p>
      <w:pPr>
        <w:pStyle w:val="ListParagraph"/>
        <w:numPr>
          <w:ilvl w:val="0"/>
          <w:numId w:val="2"/>
        </w:numPr>
        <w:spacing w:after="100"/>
      </w:pPr>
      <w:r>
        <w:t xml:space="preserve">Pago: </w:t>
      </w:r>
      <w:r>
        <w:rPr>
          <w:b/>
          <w:bCs/>
        </w:rPr>
        <w:t xml:space="preserve">PayPhone + transferencia/comprobante</w:t>
      </w:r>
      <w:r>
        <w:t xml:space="preserve">, ambos, precio único por semestre ($6.50/$6.90).</w:t>
      </w:r>
    </w:p>
    <w:p>
      <w:pPr>
        <w:pStyle w:val="ListParagraph"/>
        <w:numPr>
          <w:ilvl w:val="0"/>
          <w:numId w:val="2"/>
        </w:numPr>
        <w:spacing w:after="100"/>
      </w:pPr>
      <w:r>
        <w:t xml:space="preserve">Contrato: </w:t>
      </w:r>
      <w:r>
        <w:rPr>
          <w:b/>
          <w:bCs/>
        </w:rPr>
        <w:t xml:space="preserve">clickwrap + KYC</w:t>
      </w:r>
      <w:r>
        <w:t xml:space="preserve">, sin firma.</w:t>
      </w:r>
    </w:p>
    <w:p>
      <w:pPr>
        <w:pStyle w:val="ListParagraph"/>
        <w:numPr>
          <w:ilvl w:val="0"/>
          <w:numId w:val="2"/>
        </w:numPr>
        <w:spacing w:after="100"/>
      </w:pPr>
      <w:r>
        <w:t xml:space="preserve">Emprendimientos: </w:t>
      </w:r>
      <w:r>
        <w:rPr>
          <w:b/>
          <w:bCs/>
        </w:rPr>
        <w:t xml:space="preserve">vitrina + WhatsApp</w:t>
      </w:r>
      <w:r>
        <w:t xml:space="preserve">, reutilizando el diseño de `aeis-app`.</w:t>
      </w:r>
    </w:p>
    <w:p>
      <w:pPr>
        <w:pStyle w:val="ListParagraph"/>
        <w:numPr>
          <w:ilvl w:val="0"/>
          <w:numId w:val="2"/>
        </w:numPr>
        <w:spacing w:after="100"/>
      </w:pPr>
      <w:r>
        <w:t xml:space="preserve">Permisos: </w:t>
      </w:r>
      <w:r>
        <w:rPr>
          <w:b/>
          <w:bCs/>
        </w:rPr>
        <w:t xml:space="preserve">Director ⊇ Presidente</w:t>
      </w:r>
      <w:r>
        <w:t xml:space="preserve">, 3 niveles de rol.</w:t>
      </w:r>
    </w:p>
    <w:p>
      <w:pPr>
        <w:pStyle w:val="ListParagraph"/>
        <w:numPr>
          <w:ilvl w:val="0"/>
          <w:numId w:val="2"/>
        </w:numPr>
        <w:spacing w:after="100"/>
      </w:pPr>
      <w:r>
        <w:t xml:space="preserve">Metodología: </w:t>
      </w:r>
      <w:r>
        <w:rPr>
          <w:b/>
          <w:bCs/>
        </w:rPr>
        <w:t xml:space="preserve">BDD + TDD + SDD</w:t>
      </w:r>
      <w:r>
        <w:t xml:space="preserve"> (spec-driven y security-driven, evitando OWASP Top 10).</w:t>
      </w:r>
    </w:p>
    <w:p>
      <w:pPr>
        <w:spacing w:after="120"/>
      </w:pPr>
    </w:p>
    <w:p>
      <w:pPr>
        <w:pStyle w:val="Heading3"/>
        <w:spacing w:after="120" w:before="220"/>
      </w:pPr>
      <w:r>
        <w:rPr>
          <w:b/>
          <w:bCs/>
          <w:sz w:val="23"/>
          <w:szCs w:val="23"/>
        </w:rPr>
        <w:t xml:space="preserve">Bloqueos activos antes de pasar a Requisitos de Sistema/Software</w:t>
      </w:r>
    </w:p>
    <w:p>
      <w:pPr>
        <w:pStyle w:val="ListParagraph"/>
        <w:numPr>
          <w:ilvl w:val="0"/>
          <w:numId w:val="2"/>
        </w:numPr>
        <w:spacing w:after="100"/>
      </w:pPr>
      <w:r>
        <w:t xml:space="preserve">Montos y beneficios exactos de los tiers de Aportaciones (Bronce/Platino/Pantera).</w:t>
      </w:r>
    </w:p>
    <w:p>
      <w:pPr>
        <w:pStyle w:val="ListParagraph"/>
        <w:numPr>
          <w:ilvl w:val="0"/>
          <w:numId w:val="2"/>
        </w:numPr>
        <w:spacing w:after="100"/>
      </w:pPr>
      <w:r>
        <w:t xml:space="preserve">Precio semestral exacto dentro del rango $5.50-$9.00, según utilidad objetivo.</w:t>
      </w:r>
    </w:p>
    <w:p>
      <w:pPr>
        <w:pStyle w:val="ListParagraph"/>
        <w:numPr>
          <w:ilvl w:val="0"/>
          <w:numId w:val="2"/>
        </w:numPr>
        <w:spacing w:after="100"/>
      </w:pPr>
      <w:r>
        <w:t xml:space="preserve">Rol "Administración": ¿cuarto rol o lo cubren Presidente/Director?</w:t>
      </w:r>
    </w:p>
    <w:p>
      <w:pPr>
        <w:pStyle w:val="ListParagraph"/>
        <w:numPr>
          <w:ilvl w:val="0"/>
          <w:numId w:val="2"/>
        </w:numPr>
        <w:spacing w:after="100"/>
      </w:pPr>
      <w:r>
        <w:t xml:space="preserve">Modo de despliegue de Logto (cloud vs. self-hosted) y modelo de tenant.</w:t>
      </w:r>
    </w:p>
    <w:p>
      <w:pPr>
        <w:pStyle w:val="ListParagraph"/>
        <w:numPr>
          <w:ilvl w:val="0"/>
          <w:numId w:val="2"/>
        </w:numPr>
        <w:spacing w:after="100"/>
      </w:pPr>
      <w:r>
        <w:t xml:space="preserve">Adopción o no de la verificación biométrica (CompreFace).</w:t>
      </w:r>
    </w:p>
    <w:p>
      <w:pPr>
        <w:pStyle w:val="ListParagraph"/>
        <w:numPr>
          <w:ilvl w:val="0"/>
          <w:numId w:val="2"/>
        </w:numPr>
        <w:spacing w:after="100"/>
      </w:pPr>
      <w:r>
        <w:t xml:space="preserve">Investigación de la brecha 277 registros → 91 concretados (déficit de caja).</w:t>
      </w:r>
    </w:p>
    <w:p>
      <w:pPr>
        <w:spacing w:after="120"/>
      </w:pPr>
    </w:p>
    <w:p>
      <w:pPr>
        <w:pStyle w:val="Heading3"/>
        <w:spacing w:after="120" w:before="220"/>
      </w:pPr>
      <w:r>
        <w:rPr>
          <w:b/>
          <w:bCs/>
          <w:sz w:val="23"/>
          <w:szCs w:val="23"/>
        </w:rPr>
        <w:t xml:space="preserve">Próximo proceso ISO 12207</w:t>
      </w:r>
    </w:p>
    <w:p>
      <w:pPr>
        <w:spacing w:after="160"/>
      </w:pPr>
      <w:r>
        <w:t xml:space="preserve">Con los bloqueos anteriores resueltos, el siguiente paso formal es </w:t>
      </w:r>
      <w:r>
        <w:rPr>
          <w:b/>
          <w:bCs/>
        </w:rPr>
        <w:t xml:space="preserve">System/Software Requirements Definition</w:t>
      </w:r>
      <w:r>
        <w:t xml:space="preserve">: transformar las necesidades de stakeholders (Sección 3) en requisitos verificables de sistema/software, incluyendo los primeros escenarios BDD (Given/When/Then) para casilleros, pago dual y aportaciones.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2026-08-10T17:21:48.967Z</dcterms:created>
  <dcterms:modified xsi:type="dcterms:W3CDTF">2026-08-10T17:21:48.969Z</dcterms:modified>
</cp:coreProperties>
</file>

<file path=docProps/custom.xml><?xml version="1.0" encoding="utf-8"?>
<Properties xmlns="http://schemas.openxmlformats.org/officeDocument/2006/custom-properties" xmlns:vt="http://schemas.openxmlformats.org/officeDocument/2006/docPropsVTypes"/>
</file>