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Narrow" w:hAnsi="Arial Narrow"/>
          <w:b/>
          <w:color w:val="64748B"/>
          <w:sz w:val="19"/>
        </w:rPr>
        <w:t>PROVÍAS NACIONAL — DIRECCIÓN DE GESTIÓN DE PROYECTOS / CARTERA G2G</w:t>
      </w:r>
    </w:p>
    <w:p>
      <w:pPr>
        <w:spacing w:after="280"/>
        <w:jc w:val="left"/>
      </w:pPr>
      <w:r>
        <w:rPr>
          <w:rFonts w:ascii="Arial Narrow" w:hAnsi="Arial Narrow"/>
          <w:color w:val="94A3B8"/>
          <w:sz w:val="17"/>
        </w:rPr>
        <w:t>DESPACHO DIGITAL DE INGENIERÍA Y ASESORÍA CONTRACTUAL-LEGAL</w:t>
      </w:r>
    </w:p>
    <w:p>
      <w:pPr>
        <w:spacing w:after="80"/>
        <w:jc w:val="left"/>
      </w:pPr>
      <w:r>
        <w:rPr>
          <w:rFonts w:ascii="Arial Narrow" w:hAnsi="Arial Narrow"/>
          <w:b/>
          <w:color w:val="1E3A5F"/>
          <w:sz w:val="29"/>
        </w:rPr>
        <w:t>INFORME COMPARATIVO Y DIAGNÓSTICO TÉCNICO-OPERATIVO:</w:t>
      </w:r>
    </w:p>
    <w:p>
      <w:pPr>
        <w:spacing w:after="280"/>
        <w:jc w:val="left"/>
      </w:pPr>
      <w:r>
        <w:rPr>
          <w:rFonts w:ascii="Arial Narrow" w:hAnsi="Arial Narrow"/>
          <w:b/>
          <w:color w:val="0284C7"/>
          <w:sz w:val="23"/>
        </w:rPr>
        <w:t>EVALUACIÓN DE LAS MATRICES EN HOJA DE CÁLCULO EXCEL FRENTE A LOS BENEFICIOS Y SOLUCIONES DE LA APLICACIÓN WEB DE GESTIÓN DE CONTROVERSIAS Y MATRIZ LEGAL G2G (PC Y CELULAR)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2592"/>
            <w:shd w:fill="F8FAFC"/>
            <w:tcMar>
              <w:top w:w="60" w:type="dxa"/>
              <w:bottom w:w="60" w:type="dxa"/>
              <w:left w:w="100" w:type="dxa"/>
              <w:right w:w="100" w:type="dxa"/>
            </w:tcMar>
          </w:tcPr>
          <w:p>
            <w:pPr>
              <w:spacing w:after="0"/>
              <w:jc w:val="left"/>
            </w:pPr>
            <w:r>
              <w:rPr>
                <w:rFonts w:ascii="Arial Narrow" w:hAnsi="Arial Narrow"/>
                <w:b/>
                <w:color w:val="475569"/>
                <w:sz w:val="19"/>
              </w:rPr>
              <w:t>DESTINATARIO:</w:t>
            </w:r>
          </w:p>
        </w:tc>
        <w:tc>
          <w:tcPr>
            <w:tcW w:type="dxa" w:w="6768"/>
            <w:tcMar>
              <w:top w:w="60" w:type="dxa"/>
              <w:bottom w:w="60" w:type="dxa"/>
              <w:left w:w="100" w:type="dxa"/>
              <w:right w:w="100" w:type="dxa"/>
            </w:tcMar>
          </w:tcPr>
          <w:p>
            <w:pPr>
              <w:spacing w:after="0"/>
              <w:jc w:val="both"/>
            </w:pPr>
            <w:r>
              <w:rPr>
                <w:rFonts w:ascii="Arial Narrow" w:hAnsi="Arial Narrow"/>
                <w:color w:val="1E293B"/>
                <w:sz w:val="19"/>
              </w:rPr>
              <w:t>Dirección Ejecutiva / Jefatura de Cartera G2G / Equipo Técnico-Legal</w:t>
            </w:r>
          </w:p>
        </w:tc>
      </w:tr>
      <w:tr>
        <w:tc>
          <w:tcPr>
            <w:tcW w:type="dxa" w:w="2592"/>
            <w:shd w:fill="F8FAFC"/>
            <w:tcMar>
              <w:top w:w="60" w:type="dxa"/>
              <w:bottom w:w="60" w:type="dxa"/>
              <w:left w:w="100" w:type="dxa"/>
              <w:right w:w="100" w:type="dxa"/>
            </w:tcMar>
          </w:tcPr>
          <w:p>
            <w:pPr>
              <w:spacing w:after="0"/>
              <w:jc w:val="left"/>
            </w:pPr>
            <w:r>
              <w:rPr>
                <w:rFonts w:ascii="Arial Narrow" w:hAnsi="Arial Narrow"/>
                <w:b/>
                <w:color w:val="475569"/>
                <w:sz w:val="19"/>
              </w:rPr>
              <w:t>ELABORADO POR:</w:t>
            </w:r>
          </w:p>
        </w:tc>
        <w:tc>
          <w:tcPr>
            <w:tcW w:type="dxa" w:w="6768"/>
            <w:tcMar>
              <w:top w:w="60" w:type="dxa"/>
              <w:bottom w:w="60" w:type="dxa"/>
              <w:left w:w="100" w:type="dxa"/>
              <w:right w:w="100" w:type="dxa"/>
            </w:tcMar>
          </w:tcPr>
          <w:p>
            <w:pPr>
              <w:spacing w:after="0"/>
              <w:jc w:val="both"/>
            </w:pPr>
            <w:r>
              <w:rPr>
                <w:rFonts w:ascii="Arial Narrow" w:hAnsi="Arial Narrow"/>
                <w:color w:val="1E293B"/>
                <w:sz w:val="19"/>
              </w:rPr>
              <w:t>Ing. Marco Avila — Especialista en Gestión Contractual y Controversias</w:t>
            </w:r>
          </w:p>
        </w:tc>
      </w:tr>
      <w:tr>
        <w:tc>
          <w:tcPr>
            <w:tcW w:type="dxa" w:w="2592"/>
            <w:shd w:fill="F8FAFC"/>
            <w:tcMar>
              <w:top w:w="60" w:type="dxa"/>
              <w:bottom w:w="60" w:type="dxa"/>
              <w:left w:w="100" w:type="dxa"/>
              <w:right w:w="100" w:type="dxa"/>
            </w:tcMar>
          </w:tcPr>
          <w:p>
            <w:pPr>
              <w:spacing w:after="0"/>
              <w:jc w:val="left"/>
            </w:pPr>
            <w:r>
              <w:rPr>
                <w:rFonts w:ascii="Arial Narrow" w:hAnsi="Arial Narrow"/>
                <w:b/>
                <w:color w:val="475569"/>
                <w:sz w:val="19"/>
              </w:rPr>
              <w:t>MATERIA:</w:t>
            </w:r>
          </w:p>
        </w:tc>
        <w:tc>
          <w:tcPr>
            <w:tcW w:type="dxa" w:w="6768"/>
            <w:tcMar>
              <w:top w:w="60" w:type="dxa"/>
              <w:bottom w:w="60" w:type="dxa"/>
              <w:left w:w="100" w:type="dxa"/>
              <w:right w:w="100" w:type="dxa"/>
            </w:tcMar>
          </w:tcPr>
          <w:p>
            <w:pPr>
              <w:spacing w:after="0"/>
              <w:jc w:val="both"/>
            </w:pPr>
            <w:r>
              <w:rPr>
                <w:rFonts w:ascii="Arial Narrow" w:hAnsi="Arial Narrow"/>
                <w:color w:val="1E293B"/>
                <w:sz w:val="19"/>
              </w:rPr>
              <w:t>Auditoría de consistencia de datos, deficiencias operativas del Excel y sustento de módulos especializados (Abogado / Ingeniero)</w:t>
            </w:r>
          </w:p>
        </w:tc>
      </w:tr>
      <w:tr>
        <w:tc>
          <w:tcPr>
            <w:tcW w:type="dxa" w:w="2592"/>
            <w:shd w:fill="F8FAFC"/>
            <w:tcMar>
              <w:top w:w="60" w:type="dxa"/>
              <w:bottom w:w="60" w:type="dxa"/>
              <w:left w:w="100" w:type="dxa"/>
              <w:right w:w="100" w:type="dxa"/>
            </w:tcMar>
          </w:tcPr>
          <w:p>
            <w:pPr>
              <w:spacing w:after="0"/>
              <w:jc w:val="left"/>
            </w:pPr>
            <w:r>
              <w:rPr>
                <w:rFonts w:ascii="Arial Narrow" w:hAnsi="Arial Narrow"/>
                <w:b/>
                <w:color w:val="475569"/>
                <w:sz w:val="19"/>
              </w:rPr>
              <w:t>FECHA DE CORTE:</w:t>
            </w:r>
          </w:p>
        </w:tc>
        <w:tc>
          <w:tcPr>
            <w:tcW w:type="dxa" w:w="6768"/>
            <w:tcMar>
              <w:top w:w="60" w:type="dxa"/>
              <w:bottom w:w="60" w:type="dxa"/>
              <w:left w:w="100" w:type="dxa"/>
              <w:right w:w="100" w:type="dxa"/>
            </w:tcMar>
          </w:tcPr>
          <w:p>
            <w:pPr>
              <w:spacing w:after="0"/>
              <w:jc w:val="both"/>
            </w:pPr>
            <w:r>
              <w:rPr>
                <w:rFonts w:ascii="Arial Narrow" w:hAnsi="Arial Narrow"/>
                <w:color w:val="1E293B"/>
                <w:sz w:val="19"/>
              </w:rPr>
              <w:t>Octubre de 2026</w:t>
            </w:r>
          </w:p>
        </w:tc>
      </w:tr>
    </w:tbl>
    <w:p/>
    <w:p>
      <w:pPr>
        <w:spacing w:before="240" w:after="80"/>
      </w:pPr>
      <w:r>
        <w:rPr>
          <w:rFonts w:ascii="Arial Narrow" w:hAnsi="Arial Narrow"/>
          <w:b/>
          <w:color w:val="1E3A5F"/>
          <w:sz w:val="24"/>
        </w:rPr>
        <w:t>1. RESUMEN EJECUTIVO</w:t>
      </w:r>
    </w:p>
    <w:p>
      <w:r>
        <w:t>El presente informe tiene por finalidad documentar los resultados del análisis y auditoría técnica integral efectuados sobre las matrices de gestión de atenciones legales y controversias estructuradas originalmente en hojas de cálculo electrónicas (Microsoft Excel). A partir del cotejo directo entre la matriz elaborada por el equipo legal (abogado) y la matriz consolidada por el equipo de ingeniería, se identificaron graves vulnerabilidades operativas, riesgos de pérdida de información, desarticulación metodológica y distorsiones matemáticas que comprometen la toma de decisiones directivas.</w:t>
      </w:r>
    </w:p>
    <w:p>
      <w:r>
        <w:t>Como respuesta estructural a dicha problemática, se diseñó, desarrolló y puso en operación la Aplicación Web de Gestión de Controversias y Matriz Legal G2G, una plataforma autónoma, reactiva y multiplataforma (optimizada al 100% para computadoras de escritorio, laptops y teléfonos celulares). La herramienta no solo resolvió de raíz la duplicidad de registros y la dispersión monetaria, sino que introdujo una segregación funcional limpia mediante módulos de edición especializados e independientes para el Abogado y el Ingeniero, garantizando que cada profesional opere sobre los campos de su competencia sin interferencias ni barreras de lenguaje.</w:t>
      </w:r>
    </w:p>
    <w:p>
      <w:pPr>
        <w:spacing w:before="280" w:after="80"/>
      </w:pPr>
      <w:r>
        <w:rPr>
          <w:rFonts w:ascii="Arial Narrow" w:hAnsi="Arial Narrow"/>
          <w:b/>
          <w:color w:val="1E3A5F"/>
          <w:sz w:val="24"/>
        </w:rPr>
        <w:t>2. DIAGNÓSTICO DE DEFICIENCIAS CRÍTICAS EN LAS MATRICES EXCEL</w:t>
      </w:r>
    </w:p>
    <w:p>
      <w:r>
        <w:t>El modelo tradicional basado en libros de Excel compartidos en carpetas de red evidenció cinco fallas estructurales severas durante el proceso de auditoría y consolidación:</w:t>
      </w:r>
    </w:p>
    <w:p>
      <w:pPr>
        <w:spacing w:before="80" w:after="40"/>
      </w:pPr>
      <w:r>
        <w:rPr>
          <w:rFonts w:ascii="Arial Narrow" w:hAnsi="Arial Narrow"/>
          <w:b/>
          <w:color w:val="B91C1C"/>
        </w:rPr>
        <w:t>A. Duplicidad de IDs y Desincronización Multitabla (Riesgo de Divergencia Fáctica):</w:t>
      </w:r>
    </w:p>
    <w:p>
      <w:r>
        <w:t>En el archivo consolidado del ingeniero, la información de un mismo caso debía ingresarse y actualizarse manualmente en tres pestañas distintas: 'Matriz maestra', 'Impacto cronograma' e 'Impacto económico'. Esta arquitectura generaba divergencias inmediatas. Por ejemplo, en el caso VESR-NDD-01 (Notificación de Disconformidad de Decisión SEDAPAL), en una hoja figuraba como 'En evaluación técnica' con montos vacíos, mientras que en la pestaña de impacto económico se asignaban costos indirectos aislados, y en otras versiones se le asignaba una exposición igual a la pretensión. Cuando un usuario actualizaba el estado en una hoja, las demás permanecían desactualizadas, perdiéndose el principio de 'Fuente Única de Verdad' (Single Source of Truth).</w:t>
      </w:r>
    </w:p>
    <w:p>
      <w:pPr>
        <w:spacing w:before="80" w:after="40"/>
      </w:pPr>
      <w:r>
        <w:rPr>
          <w:rFonts w:ascii="Arial Narrow" w:hAnsi="Arial Narrow"/>
          <w:b/>
          <w:color w:val="B91C1C"/>
        </w:rPr>
        <w:t>B. Distorsión Financiera por Mezcla Heterogénea de Monedas:</w:t>
      </w:r>
    </w:p>
    <w:p>
      <w:r>
        <w:t>En megaproyectos G2G, los contratos internacionales y consorcios ejecutan transacciones en monedas mixtas (Euros € para contratos NEC/PMO, Dólares US$ para contingencias de interferencias y Soles S/ para pagos locales). En el Excel original se cometía el error de sumar algebraicamente los números en bruto: se sumaban € 11.8M + € 3.5M + $ 1.1M + S/ 18K arrojando un supuesto 'Monto Reclamado' de 16.5 millones. Esta cifra era totalmente falsa y engañosa para la Alta Dirección. Al aplicar los tipos de cambio oficiales contractuales (TC EUR 3.86, TC USD 3.45), la pretensión real ascendía a S/ 63,314,076.00 Soles, revelando un desfase millonario no advertido en la hoja de cálculo.</w:t>
      </w:r>
    </w:p>
    <w:p>
      <w:pPr>
        <w:spacing w:before="80" w:after="40"/>
      </w:pPr>
      <w:r>
        <w:rPr>
          <w:rFonts w:ascii="Arial Narrow" w:hAnsi="Arial Narrow"/>
          <w:b/>
          <w:color w:val="B91C1C"/>
        </w:rPr>
        <w:t>C. Conflictos de Concurrencia y Sobrescritura de Archivos:</w:t>
      </w:r>
    </w:p>
    <w:p>
      <w:r>
        <w:t>Al residir en unidades de red compartidas o enviarse por correo electrónico, el archivo Excel carece de control transaccional. Si el abogado modificaba la posición legal en su escritorio mientras el ingeniero ajustaba la holgura de obra en el suyo, la última persona en guardar sobrescribía por completo los cambios de la otra. Esto provocó la proliferación de versiones dispersas ('Matriz_V2_rev_abogado.xlsx', 'Consolidado_final_v3.xlsx'), generando incertidumbre total respecto a cuál era el archivo oficial.</w:t>
      </w:r>
    </w:p>
    <w:p>
      <w:pPr>
        <w:spacing w:before="80" w:after="40"/>
      </w:pPr>
      <w:r>
        <w:rPr>
          <w:rFonts w:ascii="Arial Narrow" w:hAnsi="Arial Narrow"/>
          <w:b/>
          <w:color w:val="B91C1C"/>
        </w:rPr>
        <w:t>D. Ausencia de Trazabilidad Histórica Auditable ante el Órgano de Control (CGR):</w:t>
      </w:r>
    </w:p>
    <w:p>
      <w:r>
        <w:t>El Excel no registra historial de derivaciones ni sellos de tiempo inviolables. Ante una auditoría de Control Concurrente de la Contraloría General de la República (Ley N° 31358) o un requerimiento judicial, resulta imposible demostrar fehacientemente qué fecha exacta ingresó el documento, quién autorizó el pase a otra dependencia o si el plazo fatal venció por inacción de la OAJ, de la PMO o de la Entidad.</w:t>
      </w:r>
    </w:p>
    <w:p>
      <w:pPr>
        <w:spacing w:before="80" w:after="40"/>
      </w:pPr>
      <w:r>
        <w:rPr>
          <w:rFonts w:ascii="Arial Narrow" w:hAnsi="Arial Narrow"/>
          <w:b/>
          <w:color w:val="B91C1C"/>
        </w:rPr>
        <w:t>E. Inmanejabilidad en Dispositivos Móviles (Cero Usabilidad Celular):</w:t>
      </w:r>
    </w:p>
    <w:p>
      <w:r>
        <w:t>Una matriz de más de 50 columnas horizontales es impracticable de visualizar o editar en un teléfono celular o tableta durante visitas a obra, mesas de trato directo o sesiones de directorio. La necesidad de hacer zoom constante y el riesgo de alterar celdas por toques accidentales inutilizaba el uso móvil para los directivos.</w:t>
      </w:r>
    </w:p>
    <w:p>
      <w:pPr>
        <w:spacing w:before="280" w:after="80"/>
      </w:pPr>
      <w:r>
        <w:rPr>
          <w:rFonts w:ascii="Arial Narrow" w:hAnsi="Arial Narrow"/>
          <w:b/>
          <w:color w:val="1E3A5F"/>
          <w:sz w:val="24"/>
        </w:rPr>
        <w:t>3. LA EVIDENCIA DETERMINANTE: REVISIÓN DE LA MATRIZ DEL ABOGADO Y LA NECESIDAD DE MÓDULOS ESPECIALIZADOS</w:t>
      </w:r>
    </w:p>
    <w:p>
      <w:r>
        <w:t>El punto de inflexión del proyecto se produjo al recibir y contrastar directamente el archivo elaborado por el asesor legal ('Matriz_Legal_G2G_abogado.xlsx'). Dicho documento reveló con absoluta nitidez la verdadera naturaleza de la labor jurídica en controversias:</w:t>
      </w:r>
    </w:p>
    <w:p>
      <w:r>
        <w:t>El archivo del abogado contenía EXACTAMENTE 13 COLUMNAS, todas ellas de carácter cualitativo, procesal y argumentativo: 1. N°, 2. Proyecto, 3. Categoría del problema, 4. Descripción del problema legal, 5. Base contractual/normativa, 6. Estado actual, 7. Posición de Provías / Conclusión preliminar, 8. Nivel de riesgo, 9. Documentos de sustento, 10. Área/Responsable, 11. Próxima acción/Recomendación, 12. Fecha de identificación/Plazo relevante, y 13. Observaciones.</w:t>
      </w:r>
    </w:p>
    <w:p>
      <w:r>
        <w:t>En todo el archivo del abogado NO EXISTÍA NI UNA SOLA COLUMNA DE MONTOS, VALORIZACIONES, WBS NI FÓRMULAS ECONÓMICAS. El abogado solo hacía referencias textuales tales como 'litigar arriesga pagar el monto íntegro más intereses' o 'tramitar certificación presupuestal ante OPP'.</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left w:val="single" w:sz="24" w:space="0" w:color="0284C7"/>
              <w:top w:val="none"/>
              <w:right w:val="none"/>
              <w:bottom w:val="none"/>
            </w:tcBorders>
          </w:tcPr>
          <w:p>
            <w:pPr>
              <w:spacing w:after="0" w:line="276" w:lineRule="auto"/>
              <w:jc w:val="both"/>
            </w:pPr>
            <w:r>
              <w:rPr>
                <w:rFonts w:ascii="Arial Narrow" w:hAnsi="Arial Narrow"/>
                <w:b/>
                <w:color w:val="0284C7"/>
                <w:sz w:val="21"/>
              </w:rPr>
              <w:t xml:space="preserve">LECCIÓN APRENDIDA FUNDAMENTAL: </w:t>
            </w:r>
            <w:r>
              <w:rPr>
                <w:rFonts w:ascii="Arial Narrow" w:hAnsi="Arial Narrow"/>
                <w:color w:val="1E293B"/>
                <w:sz w:val="21"/>
              </w:rPr>
              <w:t>Para un profesional del derecho, hablar de Códigos WBS, Holguras de Primavera P6, Escenarios Bajo/Probable/Alto, Costos Indirectos por Prolongación y Brechas Presupuestales por Fuente de Financiamiento (RO/ROOC) resulta completamente ajeno e incomprensible ('chino mandarín'). Asimismo, para el Ingeniero de Obra o Costos, redactar fundamentaciones jurídicas procesales o analizar excepciones de caducidad distrae su atención técnica sobre la ruta crítica y el metrado. Forzar a ambos especialistas a compartir un formulario idéntico y rígido causaba parálisis, frustración y rechazo hacia la herramienta.</w:t>
            </w:r>
          </w:p>
        </w:tc>
      </w:tr>
    </w:tbl>
    <w:p/>
    <w:p>
      <w:r>
        <w:t>De este hallazgo crucial nació la decisión estratégica de crear MÓDULOS DE EDICIÓN Y VISTAS SEPARADAS en la Aplicación Web:</w:t>
      </w:r>
    </w:p>
    <w:p>
      <w:r>
        <w:t>• MÓDULO LEGAL (ABOGADO): Se diseñó un entorno limpio donde las pestañas técnicas de WBS, ruta crítica, escenarios y finanzas de OPP quedan completamente ocultas. El abogado visualiza exclusivamente sus 13 campos jurídicos, puede registrar su análisis sin trabas y cuenta con un botón directo 'Guardar Expediente Legal'.</w:t>
      </w:r>
    </w:p>
    <w:p>
      <w:r>
        <w:t>• MÓDULO TÉCNICO Y COSTOS (INGENIERO): Se estructuró un entorno enfocado en el cronograma de obra (código WBS, holgura, afectación en días y medidas de mitigación) y en la cuantificación forense del Quantum (pretensión en moneda original, tipo de cambio contractual, escenarios de exposición y brecha presupuestal OPP).</w:t>
      </w:r>
    </w:p>
    <w:p>
      <w:r>
        <w:t>• VISTA JEFATURA / MAESTRA: Un panel consolidado que integra la postura jurídica con la exposición física y financiera, alimentando los indicadores directivos en tiempo real.</w:t>
      </w:r>
    </w:p>
    <w:p>
      <w:pPr>
        <w:spacing w:before="280" w:after="80"/>
      </w:pPr>
      <w:r>
        <w:rPr>
          <w:rFonts w:ascii="Arial Narrow" w:hAnsi="Arial Narrow"/>
          <w:b/>
          <w:color w:val="1E3A5F"/>
          <w:sz w:val="24"/>
        </w:rPr>
        <w:t>4. TABLA COMPARATIVA DETALLADA: MODELO EXCEL VS. APLICACIÓN WEB (PC Y CELULAR)</w:t>
      </w:r>
    </w:p>
    <w:p>
      <w:r>
        <w:t>A continuación se presenta el balance técnico comparativo que resume las deficiencias del esquema anterior frente a los beneficios tangibles incorporados en la solución tecnológica:</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3120"/>
        <w:gridCol w:w="3120"/>
        <w:gridCol w:w="3120"/>
      </w:tblGrid>
      <w:tr>
        <w:tc>
          <w:tcPr>
            <w:tcW w:type="dxa" w:w="2592"/>
            <w:shd w:fill="1E3A5F"/>
            <w:tcMar>
              <w:top w:w="120" w:type="dxa"/>
              <w:bottom w:w="120" w:type="dxa"/>
              <w:left w:w="150" w:type="dxa"/>
              <w:right w:w="150" w:type="dxa"/>
            </w:tcMar>
          </w:tcPr>
          <w:p>
            <w:pPr>
              <w:spacing w:after="0"/>
              <w:jc w:val="center"/>
            </w:pPr>
            <w:r>
              <w:rPr>
                <w:rFonts w:ascii="Arial Narrow" w:hAnsi="Arial Narrow"/>
                <w:b/>
                <w:color w:val="FFFFFF"/>
                <w:sz w:val="20"/>
              </w:rPr>
              <w:t>CRITERIO DE EVALUACIÓN</w:t>
            </w:r>
          </w:p>
        </w:tc>
        <w:tc>
          <w:tcPr>
            <w:tcW w:type="dxa" w:w="3456"/>
            <w:shd w:fill="1E3A5F"/>
            <w:tcMar>
              <w:top w:w="120" w:type="dxa"/>
              <w:bottom w:w="120" w:type="dxa"/>
              <w:left w:w="150" w:type="dxa"/>
              <w:right w:w="150" w:type="dxa"/>
            </w:tcMar>
          </w:tcPr>
          <w:p>
            <w:pPr>
              <w:spacing w:after="0"/>
              <w:jc w:val="center"/>
            </w:pPr>
            <w:r>
              <w:rPr>
                <w:rFonts w:ascii="Arial Narrow" w:hAnsi="Arial Narrow"/>
                <w:b/>
                <w:color w:val="FFFFFF"/>
                <w:sz w:val="20"/>
              </w:rPr>
              <w:t>MODELO ANTERIOR (EXCEL)</w:t>
            </w:r>
          </w:p>
        </w:tc>
        <w:tc>
          <w:tcPr>
            <w:tcW w:type="dxa" w:w="3600"/>
            <w:shd w:fill="1E3A5F"/>
            <w:tcMar>
              <w:top w:w="120" w:type="dxa"/>
              <w:bottom w:w="120" w:type="dxa"/>
              <w:left w:w="150" w:type="dxa"/>
              <w:right w:w="150" w:type="dxa"/>
            </w:tcMar>
          </w:tcPr>
          <w:p>
            <w:pPr>
              <w:spacing w:after="0"/>
              <w:jc w:val="center"/>
            </w:pPr>
            <w:r>
              <w:rPr>
                <w:rFonts w:ascii="Arial Narrow" w:hAnsi="Arial Narrow"/>
                <w:b/>
                <w:color w:val="FFFFFF"/>
                <w:sz w:val="20"/>
              </w:rPr>
              <w:t>APLICACIÓN WEB G2G (PC Y CELULAR)</w:t>
            </w:r>
          </w:p>
        </w:tc>
      </w:tr>
      <w:tr>
        <w:tc>
          <w:tcPr>
            <w:tcW w:type="dxa" w:w="3120"/>
            <w:shd w:fill="F8FAFC"/>
            <w:tcMar>
              <w:top w:w="90" w:type="dxa"/>
              <w:bottom w:w="90" w:type="dxa"/>
              <w:left w:w="120" w:type="dxa"/>
              <w:right w:w="120" w:type="dxa"/>
            </w:tcMar>
          </w:tcPr>
          <w:p>
            <w:pPr>
              <w:spacing w:after="0" w:line="269" w:lineRule="auto"/>
              <w:jc w:val="both"/>
            </w:pPr>
            <w:r>
              <w:rPr>
                <w:rFonts w:ascii="Arial Narrow" w:hAnsi="Arial Narrow"/>
                <w:b/>
                <w:color w:val="1E293B"/>
                <w:sz w:val="19"/>
              </w:rPr>
              <w:t>Arquitectura e Integridad de Datos</w:t>
            </w:r>
          </w:p>
        </w:tc>
        <w:tc>
          <w:tcPr>
            <w:tcW w:type="dxa" w:w="3120"/>
            <w:shd w:fill="F8FAFC"/>
            <w:tcMar>
              <w:top w:w="90" w:type="dxa"/>
              <w:bottom w:w="90" w:type="dxa"/>
              <w:left w:w="120" w:type="dxa"/>
              <w:right w:w="120" w:type="dxa"/>
            </w:tcMar>
          </w:tcPr>
          <w:p>
            <w:pPr>
              <w:spacing w:after="0" w:line="269" w:lineRule="auto"/>
              <w:jc w:val="both"/>
            </w:pPr>
            <w:r>
              <w:rPr>
                <w:rFonts w:ascii="Arial Narrow" w:hAnsi="Arial Narrow"/>
                <w:b w:val="0"/>
                <w:color w:val="1E293B"/>
                <w:sz w:val="18"/>
              </w:rPr>
              <w:t>Dispersa en múltiples pestañas. El usuario debía actualizar el mismo caso en 3 hojas distintas, generando desalineación y datos contradictorios.</w:t>
            </w:r>
          </w:p>
        </w:tc>
        <w:tc>
          <w:tcPr>
            <w:tcW w:type="dxa" w:w="3120"/>
            <w:shd w:fill="F8FAFC"/>
            <w:tcMar>
              <w:top w:w="90" w:type="dxa"/>
              <w:bottom w:w="90" w:type="dxa"/>
              <w:left w:w="120" w:type="dxa"/>
              <w:right w:w="120" w:type="dxa"/>
            </w:tcMar>
          </w:tcPr>
          <w:p>
            <w:pPr>
              <w:spacing w:after="0" w:line="269" w:lineRule="auto"/>
              <w:jc w:val="both"/>
            </w:pPr>
            <w:r>
              <w:rPr>
                <w:rFonts w:ascii="Arial Narrow" w:hAnsi="Arial Narrow"/>
                <w:b w:val="0"/>
                <w:color w:val="1E293B"/>
                <w:sz w:val="18"/>
              </w:rPr>
              <w:t>Base de datos unificada centralizada (JSON en Nube). Una sola actualización impacta automáticamente en el expediente legal, técnico y económico.</w:t>
            </w:r>
          </w:p>
        </w:tc>
      </w:tr>
      <w:tr>
        <w:tc>
          <w:tcPr>
            <w:tcW w:type="dxa" w:w="3120"/>
            <w:shd w:fill="FFFFFF"/>
            <w:tcMar>
              <w:top w:w="90" w:type="dxa"/>
              <w:bottom w:w="90" w:type="dxa"/>
              <w:left w:w="120" w:type="dxa"/>
              <w:right w:w="120" w:type="dxa"/>
            </w:tcMar>
          </w:tcPr>
          <w:p>
            <w:pPr>
              <w:spacing w:after="0" w:line="269" w:lineRule="auto"/>
              <w:jc w:val="both"/>
            </w:pPr>
            <w:r>
              <w:rPr>
                <w:rFonts w:ascii="Arial Narrow" w:hAnsi="Arial Narrow"/>
                <w:b/>
                <w:color w:val="1E293B"/>
                <w:sz w:val="19"/>
              </w:rPr>
              <w:t>Identificadores de Caso (IDs)</w:t>
            </w:r>
          </w:p>
        </w:tc>
        <w:tc>
          <w:tcPr>
            <w:tcW w:type="dxa" w:w="3120"/>
            <w:shd w:fill="FFFFFF"/>
            <w:tcMar>
              <w:top w:w="90" w:type="dxa"/>
              <w:bottom w:w="90" w:type="dxa"/>
              <w:left w:w="120" w:type="dxa"/>
              <w:right w:w="120" w:type="dxa"/>
            </w:tcMar>
          </w:tcPr>
          <w:p>
            <w:pPr>
              <w:spacing w:after="0" w:line="269" w:lineRule="auto"/>
              <w:jc w:val="both"/>
            </w:pPr>
            <w:r>
              <w:rPr>
                <w:rFonts w:ascii="Arial Narrow" w:hAnsi="Arial Narrow"/>
                <w:b w:val="0"/>
                <w:color w:val="1E293B"/>
                <w:sz w:val="18"/>
              </w:rPr>
              <w:t>Frecuentes duplicidades por ingreso manual no validado. Casos con códigos repetidos o formatos heterogéneos sin control de clave única.</w:t>
            </w:r>
          </w:p>
        </w:tc>
        <w:tc>
          <w:tcPr>
            <w:tcW w:type="dxa" w:w="3120"/>
            <w:shd w:fill="FFFFFF"/>
            <w:tcMar>
              <w:top w:w="90" w:type="dxa"/>
              <w:bottom w:w="90" w:type="dxa"/>
              <w:left w:w="120" w:type="dxa"/>
              <w:right w:w="120" w:type="dxa"/>
            </w:tcMar>
          </w:tcPr>
          <w:p>
            <w:pPr>
              <w:spacing w:after="0" w:line="269" w:lineRule="auto"/>
              <w:jc w:val="both"/>
            </w:pPr>
            <w:r>
              <w:rPr>
                <w:rFonts w:ascii="Arial Narrow" w:hAnsi="Arial Narrow"/>
                <w:b w:val="0"/>
                <w:color w:val="1E293B"/>
                <w:sz w:val="18"/>
              </w:rPr>
              <w:t>Validación automática estricta contra duplicados. Código único obligatorio con formato normalizado por proyecto (ej. VESR-RCO-01).</w:t>
            </w:r>
          </w:p>
        </w:tc>
      </w:tr>
      <w:tr>
        <w:tc>
          <w:tcPr>
            <w:tcW w:type="dxa" w:w="3120"/>
            <w:shd w:fill="F8FAFC"/>
            <w:tcMar>
              <w:top w:w="90" w:type="dxa"/>
              <w:bottom w:w="90" w:type="dxa"/>
              <w:left w:w="120" w:type="dxa"/>
              <w:right w:w="120" w:type="dxa"/>
            </w:tcMar>
          </w:tcPr>
          <w:p>
            <w:pPr>
              <w:spacing w:after="0" w:line="269" w:lineRule="auto"/>
              <w:jc w:val="both"/>
            </w:pPr>
            <w:r>
              <w:rPr>
                <w:rFonts w:ascii="Arial Narrow" w:hAnsi="Arial Narrow"/>
                <w:b/>
                <w:color w:val="1E293B"/>
                <w:sz w:val="19"/>
              </w:rPr>
              <w:t>Experiencia del Abogado</w:t>
            </w:r>
          </w:p>
        </w:tc>
        <w:tc>
          <w:tcPr>
            <w:tcW w:type="dxa" w:w="3120"/>
            <w:shd w:fill="F8FAFC"/>
            <w:tcMar>
              <w:top w:w="90" w:type="dxa"/>
              <w:bottom w:w="90" w:type="dxa"/>
              <w:left w:w="120" w:type="dxa"/>
              <w:right w:w="120" w:type="dxa"/>
            </w:tcMar>
          </w:tcPr>
          <w:p>
            <w:pPr>
              <w:spacing w:after="0" w:line="269" w:lineRule="auto"/>
              <w:jc w:val="both"/>
            </w:pPr>
            <w:r>
              <w:rPr>
                <w:rFonts w:ascii="Arial Narrow" w:hAnsi="Arial Narrow"/>
                <w:b w:val="0"/>
                <w:color w:val="1E293B"/>
                <w:sz w:val="18"/>
              </w:rPr>
              <w:t>Abrumadora. El abogado se enfrentaba a una tabla de 50 columnas con términos incomprensibles de obra, WBS y contabilidad OPP.</w:t>
            </w:r>
          </w:p>
        </w:tc>
        <w:tc>
          <w:tcPr>
            <w:tcW w:type="dxa" w:w="3120"/>
            <w:shd w:fill="F8FAFC"/>
            <w:tcMar>
              <w:top w:w="90" w:type="dxa"/>
              <w:bottom w:w="90" w:type="dxa"/>
              <w:left w:w="120" w:type="dxa"/>
              <w:right w:w="120" w:type="dxa"/>
            </w:tcMar>
          </w:tcPr>
          <w:p>
            <w:pPr>
              <w:spacing w:after="0" w:line="269" w:lineRule="auto"/>
              <w:jc w:val="both"/>
            </w:pPr>
            <w:r>
              <w:rPr>
                <w:rFonts w:ascii="Arial Narrow" w:hAnsi="Arial Narrow"/>
                <w:b w:val="0"/>
                <w:color w:val="1E293B"/>
                <w:sz w:val="18"/>
              </w:rPr>
              <w:t>Módulo Legal Exclusivo. Solo visualiza y edita sus 13 campos del expediente procesal. Cero ruido de costos ni cronogramas de obra.</w:t>
            </w:r>
          </w:p>
        </w:tc>
      </w:tr>
      <w:tr>
        <w:tc>
          <w:tcPr>
            <w:tcW w:type="dxa" w:w="3120"/>
            <w:shd w:fill="FFFFFF"/>
            <w:tcMar>
              <w:top w:w="90" w:type="dxa"/>
              <w:bottom w:w="90" w:type="dxa"/>
              <w:left w:w="120" w:type="dxa"/>
              <w:right w:w="120" w:type="dxa"/>
            </w:tcMar>
          </w:tcPr>
          <w:p>
            <w:pPr>
              <w:spacing w:after="0" w:line="269" w:lineRule="auto"/>
              <w:jc w:val="both"/>
            </w:pPr>
            <w:r>
              <w:rPr>
                <w:rFonts w:ascii="Arial Narrow" w:hAnsi="Arial Narrow"/>
                <w:b/>
                <w:color w:val="1E293B"/>
                <w:sz w:val="19"/>
              </w:rPr>
              <w:t>Experiencia del Ingeniero</w:t>
            </w:r>
          </w:p>
        </w:tc>
        <w:tc>
          <w:tcPr>
            <w:tcW w:type="dxa" w:w="3120"/>
            <w:shd w:fill="FFFFFF"/>
            <w:tcMar>
              <w:top w:w="90" w:type="dxa"/>
              <w:bottom w:w="90" w:type="dxa"/>
              <w:left w:w="120" w:type="dxa"/>
              <w:right w:w="120" w:type="dxa"/>
            </w:tcMar>
          </w:tcPr>
          <w:p>
            <w:pPr>
              <w:spacing w:after="0" w:line="269" w:lineRule="auto"/>
              <w:jc w:val="both"/>
            </w:pPr>
            <w:r>
              <w:rPr>
                <w:rFonts w:ascii="Arial Narrow" w:hAnsi="Arial Narrow"/>
                <w:b w:val="0"/>
                <w:color w:val="1E293B"/>
                <w:sz w:val="18"/>
              </w:rPr>
              <w:t>Forzado a redactar antecedentes legales o buscar en celdas extensas para hallar las fechas de impacto en ruta crítica.</w:t>
            </w:r>
          </w:p>
        </w:tc>
        <w:tc>
          <w:tcPr>
            <w:tcW w:type="dxa" w:w="3120"/>
            <w:shd w:fill="FFFFFF"/>
            <w:tcMar>
              <w:top w:w="90" w:type="dxa"/>
              <w:bottom w:w="90" w:type="dxa"/>
              <w:left w:w="120" w:type="dxa"/>
              <w:right w:w="120" w:type="dxa"/>
            </w:tcMar>
          </w:tcPr>
          <w:p>
            <w:pPr>
              <w:spacing w:after="0" w:line="269" w:lineRule="auto"/>
              <w:jc w:val="both"/>
            </w:pPr>
            <w:r>
              <w:rPr>
                <w:rFonts w:ascii="Arial Narrow" w:hAnsi="Arial Narrow"/>
                <w:b w:val="0"/>
                <w:color w:val="1E293B"/>
                <w:sz w:val="18"/>
              </w:rPr>
              <w:t>Módulo Técnico Especializado. Enfocado en código WBS, ruta crítica, holguras, medidas de mitigación técnica y análisis forense de quantum.</w:t>
            </w:r>
          </w:p>
        </w:tc>
      </w:tr>
      <w:tr>
        <w:tc>
          <w:tcPr>
            <w:tcW w:type="dxa" w:w="3120"/>
            <w:shd w:fill="F8FAFC"/>
            <w:tcMar>
              <w:top w:w="90" w:type="dxa"/>
              <w:bottom w:w="90" w:type="dxa"/>
              <w:left w:w="120" w:type="dxa"/>
              <w:right w:w="120" w:type="dxa"/>
            </w:tcMar>
          </w:tcPr>
          <w:p>
            <w:pPr>
              <w:spacing w:after="0" w:line="269" w:lineRule="auto"/>
              <w:jc w:val="both"/>
            </w:pPr>
            <w:r>
              <w:rPr>
                <w:rFonts w:ascii="Arial Narrow" w:hAnsi="Arial Narrow"/>
                <w:b/>
                <w:color w:val="1E293B"/>
                <w:sz w:val="19"/>
              </w:rPr>
              <w:t>Tratamiento de Monedas y Cuantías</w:t>
            </w:r>
          </w:p>
        </w:tc>
        <w:tc>
          <w:tcPr>
            <w:tcW w:type="dxa" w:w="3120"/>
            <w:shd w:fill="F8FAFC"/>
            <w:tcMar>
              <w:top w:w="90" w:type="dxa"/>
              <w:bottom w:w="90" w:type="dxa"/>
              <w:left w:w="120" w:type="dxa"/>
              <w:right w:w="120" w:type="dxa"/>
            </w:tcMar>
          </w:tcPr>
          <w:p>
            <w:pPr>
              <w:spacing w:after="0" w:line="269" w:lineRule="auto"/>
              <w:jc w:val="both"/>
            </w:pPr>
            <w:r>
              <w:rPr>
                <w:rFonts w:ascii="Arial Narrow" w:hAnsi="Arial Narrow"/>
                <w:b w:val="0"/>
                <w:color w:val="1E293B"/>
                <w:sz w:val="18"/>
              </w:rPr>
              <w:t>Distorsión severa. Sumaba algebraicamente euros, dólares y soles en crudo, distorsionando la pretensión real en decenas de millones.</w:t>
            </w:r>
          </w:p>
        </w:tc>
        <w:tc>
          <w:tcPr>
            <w:tcW w:type="dxa" w:w="3120"/>
            <w:shd w:fill="F8FAFC"/>
            <w:tcMar>
              <w:top w:w="90" w:type="dxa"/>
              <w:bottom w:w="90" w:type="dxa"/>
              <w:left w:w="120" w:type="dxa"/>
              <w:right w:w="120" w:type="dxa"/>
            </w:tcMar>
          </w:tcPr>
          <w:p>
            <w:pPr>
              <w:spacing w:after="0" w:line="269" w:lineRule="auto"/>
              <w:jc w:val="both"/>
            </w:pPr>
            <w:r>
              <w:rPr>
                <w:rFonts w:ascii="Arial Narrow" w:hAnsi="Arial Narrow"/>
                <w:b w:val="0"/>
                <w:color w:val="1E293B"/>
                <w:sz w:val="18"/>
              </w:rPr>
              <w:t>Conversión monetaria automática con tipo de cambio contractual auditado (EUR 3.86 / USD 3.45). Totales oficiales exactos en Soles (PEN).</w:t>
            </w:r>
          </w:p>
        </w:tc>
      </w:tr>
      <w:tr>
        <w:tc>
          <w:tcPr>
            <w:tcW w:type="dxa" w:w="3120"/>
            <w:shd w:fill="FFFFFF"/>
            <w:tcMar>
              <w:top w:w="90" w:type="dxa"/>
              <w:bottom w:w="90" w:type="dxa"/>
              <w:left w:w="120" w:type="dxa"/>
              <w:right w:w="120" w:type="dxa"/>
            </w:tcMar>
          </w:tcPr>
          <w:p>
            <w:pPr>
              <w:spacing w:after="0" w:line="269" w:lineRule="auto"/>
              <w:jc w:val="both"/>
            </w:pPr>
            <w:r>
              <w:rPr>
                <w:rFonts w:ascii="Arial Narrow" w:hAnsi="Arial Narrow"/>
                <w:b/>
                <w:color w:val="1E293B"/>
                <w:sz w:val="19"/>
              </w:rPr>
              <w:t>Flexibilidad de Guardado (Completitud)</w:t>
            </w:r>
          </w:p>
        </w:tc>
        <w:tc>
          <w:tcPr>
            <w:tcW w:type="dxa" w:w="3120"/>
            <w:shd w:fill="FFFFFF"/>
            <w:tcMar>
              <w:top w:w="90" w:type="dxa"/>
              <w:bottom w:w="90" w:type="dxa"/>
              <w:left w:w="120" w:type="dxa"/>
              <w:right w:w="120" w:type="dxa"/>
            </w:tcMar>
          </w:tcPr>
          <w:p>
            <w:pPr>
              <w:spacing w:after="0" w:line="269" w:lineRule="auto"/>
              <w:jc w:val="both"/>
            </w:pPr>
            <w:r>
              <w:rPr>
                <w:rFonts w:ascii="Arial Narrow" w:hAnsi="Arial Narrow"/>
                <w:b w:val="0"/>
                <w:color w:val="1E293B"/>
                <w:sz w:val="18"/>
              </w:rPr>
              <w:t>Inflexible o caótico. Al faltar datos de costos, el registro quedaba congelado o se llenaba con ceros erróneos que falseaban el tablero.</w:t>
            </w:r>
          </w:p>
        </w:tc>
        <w:tc>
          <w:tcPr>
            <w:tcW w:type="dxa" w:w="3120"/>
            <w:shd w:fill="FFFFFF"/>
            <w:tcMar>
              <w:top w:w="90" w:type="dxa"/>
              <w:bottom w:w="90" w:type="dxa"/>
              <w:left w:w="120" w:type="dxa"/>
              <w:right w:w="120" w:type="dxa"/>
            </w:tcMar>
          </w:tcPr>
          <w:p>
            <w:pPr>
              <w:spacing w:after="0" w:line="269" w:lineRule="auto"/>
              <w:jc w:val="both"/>
            </w:pPr>
            <w:r>
              <w:rPr>
                <w:rFonts w:ascii="Arial Narrow" w:hAnsi="Arial Narrow"/>
                <w:b w:val="0"/>
                <w:color w:val="1E293B"/>
                <w:sz w:val="18"/>
              </w:rPr>
              <w:t>Guardado Progresivo Flexible. Permite registrar el caso con datos mínimos iniciales y complementarlo en el tiempo sin bloqueos.</w:t>
            </w:r>
          </w:p>
        </w:tc>
      </w:tr>
      <w:tr>
        <w:tc>
          <w:tcPr>
            <w:tcW w:type="dxa" w:w="3120"/>
            <w:shd w:fill="F8FAFC"/>
            <w:tcMar>
              <w:top w:w="90" w:type="dxa"/>
              <w:bottom w:w="90" w:type="dxa"/>
              <w:left w:w="120" w:type="dxa"/>
              <w:right w:w="120" w:type="dxa"/>
            </w:tcMar>
          </w:tcPr>
          <w:p>
            <w:pPr>
              <w:spacing w:after="0" w:line="269" w:lineRule="auto"/>
              <w:jc w:val="both"/>
            </w:pPr>
            <w:r>
              <w:rPr>
                <w:rFonts w:ascii="Arial Narrow" w:hAnsi="Arial Narrow"/>
                <w:b/>
                <w:color w:val="1E293B"/>
                <w:sz w:val="19"/>
              </w:rPr>
              <w:t>Alertas de Datos Faltantes</w:t>
            </w:r>
          </w:p>
        </w:tc>
        <w:tc>
          <w:tcPr>
            <w:tcW w:type="dxa" w:w="3120"/>
            <w:shd w:fill="F8FAFC"/>
            <w:tcMar>
              <w:top w:w="90" w:type="dxa"/>
              <w:bottom w:w="90" w:type="dxa"/>
              <w:left w:w="120" w:type="dxa"/>
              <w:right w:w="120" w:type="dxa"/>
            </w:tcMar>
          </w:tcPr>
          <w:p>
            <w:pPr>
              <w:spacing w:after="0" w:line="269" w:lineRule="auto"/>
              <w:jc w:val="both"/>
            </w:pPr>
            <w:r>
              <w:rPr>
                <w:rFonts w:ascii="Arial Narrow" w:hAnsi="Arial Narrow"/>
                <w:b w:val="0"/>
                <w:color w:val="1E293B"/>
                <w:sz w:val="18"/>
              </w:rPr>
              <w:t>Inexistentes. Solo se advertían celdas vacías tras inspeccionar manualmente cientos de filas horizontales.</w:t>
            </w:r>
          </w:p>
        </w:tc>
        <w:tc>
          <w:tcPr>
            <w:tcW w:type="dxa" w:w="3120"/>
            <w:shd w:fill="F8FAFC"/>
            <w:tcMar>
              <w:top w:w="90" w:type="dxa"/>
              <w:bottom w:w="90" w:type="dxa"/>
              <w:left w:w="120" w:type="dxa"/>
              <w:right w:w="120" w:type="dxa"/>
            </w:tcMar>
          </w:tcPr>
          <w:p>
            <w:pPr>
              <w:spacing w:after="0" w:line="269" w:lineRule="auto"/>
              <w:jc w:val="both"/>
            </w:pPr>
            <w:r>
              <w:rPr>
                <w:rFonts w:ascii="Arial Narrow" w:hAnsi="Arial Narrow"/>
                <w:b w:val="0"/>
                <w:color w:val="1E293B"/>
                <w:sz w:val="18"/>
              </w:rPr>
              <w:t>Etiquetas Inteligentes de Información Pendiente. Muestra alertas visuales contextuales: 'Pendiente OPP', 'Sin WBS', 'Sin Posición Legal'.</w:t>
            </w:r>
          </w:p>
        </w:tc>
      </w:tr>
      <w:tr>
        <w:tc>
          <w:tcPr>
            <w:tcW w:type="dxa" w:w="3120"/>
            <w:shd w:fill="FFFFFF"/>
            <w:tcMar>
              <w:top w:w="90" w:type="dxa"/>
              <w:bottom w:w="90" w:type="dxa"/>
              <w:left w:w="120" w:type="dxa"/>
              <w:right w:w="120" w:type="dxa"/>
            </w:tcMar>
          </w:tcPr>
          <w:p>
            <w:pPr>
              <w:spacing w:after="0" w:line="269" w:lineRule="auto"/>
              <w:jc w:val="both"/>
            </w:pPr>
            <w:r>
              <w:rPr>
                <w:rFonts w:ascii="Arial Narrow" w:hAnsi="Arial Narrow"/>
                <w:b/>
                <w:color w:val="1E293B"/>
                <w:sz w:val="19"/>
              </w:rPr>
              <w:t>Concurrencia Multiusuario</w:t>
            </w:r>
          </w:p>
        </w:tc>
        <w:tc>
          <w:tcPr>
            <w:tcW w:type="dxa" w:w="3120"/>
            <w:shd w:fill="FFFFFF"/>
            <w:tcMar>
              <w:top w:w="90" w:type="dxa"/>
              <w:bottom w:w="90" w:type="dxa"/>
              <w:left w:w="120" w:type="dxa"/>
              <w:right w:w="120" w:type="dxa"/>
            </w:tcMar>
          </w:tcPr>
          <w:p>
            <w:pPr>
              <w:spacing w:after="0" w:line="269" w:lineRule="auto"/>
              <w:jc w:val="both"/>
            </w:pPr>
            <w:r>
              <w:rPr>
                <w:rFonts w:ascii="Arial Narrow" w:hAnsi="Arial Narrow"/>
                <w:b w:val="0"/>
                <w:color w:val="1E293B"/>
                <w:sz w:val="18"/>
              </w:rPr>
              <w:t>Crítica. Al abrir el archivo dos personas en red, se generaban bloqueos de solo lectura o sobrescritura destructiva de cambios.</w:t>
            </w:r>
          </w:p>
        </w:tc>
        <w:tc>
          <w:tcPr>
            <w:tcW w:type="dxa" w:w="3120"/>
            <w:shd w:fill="FFFFFF"/>
            <w:tcMar>
              <w:top w:w="90" w:type="dxa"/>
              <w:bottom w:w="90" w:type="dxa"/>
              <w:left w:w="120" w:type="dxa"/>
              <w:right w:w="120" w:type="dxa"/>
            </w:tcMar>
          </w:tcPr>
          <w:p>
            <w:pPr>
              <w:spacing w:after="0" w:line="269" w:lineRule="auto"/>
              <w:jc w:val="both"/>
            </w:pPr>
            <w:r>
              <w:rPr>
                <w:rFonts w:ascii="Arial Narrow" w:hAnsi="Arial Narrow"/>
                <w:b w:val="0"/>
                <w:color w:val="1E293B"/>
                <w:sz w:val="18"/>
              </w:rPr>
              <w:t>Acceso concurrente ilimitado. Múltiples abogados e ingenieros trabajan en simultáneo sin pisarse la información.</w:t>
            </w:r>
          </w:p>
        </w:tc>
      </w:tr>
      <w:tr>
        <w:tc>
          <w:tcPr>
            <w:tcW w:type="dxa" w:w="3120"/>
            <w:shd w:fill="F8FAFC"/>
            <w:tcMar>
              <w:top w:w="90" w:type="dxa"/>
              <w:bottom w:w="90" w:type="dxa"/>
              <w:left w:w="120" w:type="dxa"/>
              <w:right w:w="120" w:type="dxa"/>
            </w:tcMar>
          </w:tcPr>
          <w:p>
            <w:pPr>
              <w:spacing w:after="0" w:line="269" w:lineRule="auto"/>
              <w:jc w:val="both"/>
            </w:pPr>
            <w:r>
              <w:rPr>
                <w:rFonts w:ascii="Arial Narrow" w:hAnsi="Arial Narrow"/>
                <w:b/>
                <w:color w:val="1E293B"/>
                <w:sz w:val="19"/>
              </w:rPr>
              <w:t>Visualización en Teléfono Celular</w:t>
            </w:r>
          </w:p>
        </w:tc>
        <w:tc>
          <w:tcPr>
            <w:tcW w:type="dxa" w:w="3120"/>
            <w:shd w:fill="F8FAFC"/>
            <w:tcMar>
              <w:top w:w="90" w:type="dxa"/>
              <w:bottom w:w="90" w:type="dxa"/>
              <w:left w:w="120" w:type="dxa"/>
              <w:right w:w="120" w:type="dxa"/>
            </w:tcMar>
          </w:tcPr>
          <w:p>
            <w:pPr>
              <w:spacing w:after="0" w:line="269" w:lineRule="auto"/>
              <w:jc w:val="both"/>
            </w:pPr>
            <w:r>
              <w:rPr>
                <w:rFonts w:ascii="Arial Narrow" w:hAnsi="Arial Narrow"/>
                <w:b w:val="0"/>
                <w:color w:val="1E293B"/>
                <w:sz w:val="18"/>
              </w:rPr>
              <w:t>Inoperable. Desbordamiento horizontal masivo, textos diminutos ilegibles y alto riesgo de borrado involuntario por toques.</w:t>
            </w:r>
          </w:p>
        </w:tc>
        <w:tc>
          <w:tcPr>
            <w:tcW w:type="dxa" w:w="3120"/>
            <w:shd w:fill="F8FAFC"/>
            <w:tcMar>
              <w:top w:w="90" w:type="dxa"/>
              <w:bottom w:w="90" w:type="dxa"/>
              <w:left w:w="120" w:type="dxa"/>
              <w:right w:w="120" w:type="dxa"/>
            </w:tcMar>
          </w:tcPr>
          <w:p>
            <w:pPr>
              <w:spacing w:after="0" w:line="269" w:lineRule="auto"/>
              <w:jc w:val="both"/>
            </w:pPr>
            <w:r>
              <w:rPr>
                <w:rFonts w:ascii="Arial Narrow" w:hAnsi="Arial Narrow"/>
                <w:b w:val="0"/>
                <w:color w:val="1E293B"/>
                <w:sz w:val="18"/>
              </w:rPr>
              <w:t>Modo Tarjetas Táctiles optimizado para móvil. Interfaz adaptativa al 100% del ancho, botones grandes y filtros rápidos por toque.</w:t>
            </w:r>
          </w:p>
        </w:tc>
      </w:tr>
      <w:tr>
        <w:tc>
          <w:tcPr>
            <w:tcW w:type="dxa" w:w="3120"/>
            <w:shd w:fill="FFFFFF"/>
            <w:tcMar>
              <w:top w:w="90" w:type="dxa"/>
              <w:bottom w:w="90" w:type="dxa"/>
              <w:left w:w="120" w:type="dxa"/>
              <w:right w:w="120" w:type="dxa"/>
            </w:tcMar>
          </w:tcPr>
          <w:p>
            <w:pPr>
              <w:spacing w:after="0" w:line="269" w:lineRule="auto"/>
              <w:jc w:val="both"/>
            </w:pPr>
            <w:r>
              <w:rPr>
                <w:rFonts w:ascii="Arial Narrow" w:hAnsi="Arial Narrow"/>
                <w:b/>
                <w:color w:val="1E293B"/>
                <w:sz w:val="19"/>
              </w:rPr>
              <w:t>Tablero Ejecutivo y Monitoreo</w:t>
            </w:r>
          </w:p>
        </w:tc>
        <w:tc>
          <w:tcPr>
            <w:tcW w:type="dxa" w:w="3120"/>
            <w:shd w:fill="FFFFFF"/>
            <w:tcMar>
              <w:top w:w="90" w:type="dxa"/>
              <w:bottom w:w="90" w:type="dxa"/>
              <w:left w:w="120" w:type="dxa"/>
              <w:right w:w="120" w:type="dxa"/>
            </w:tcMar>
          </w:tcPr>
          <w:p>
            <w:pPr>
              <w:spacing w:after="0" w:line="269" w:lineRule="auto"/>
              <w:jc w:val="both"/>
            </w:pPr>
            <w:r>
              <w:rPr>
                <w:rFonts w:ascii="Arial Narrow" w:hAnsi="Arial Narrow"/>
                <w:b w:val="0"/>
                <w:color w:val="1E293B"/>
                <w:sz w:val="18"/>
              </w:rPr>
              <w:t>Tablas estáticas desconectadas que requerían recalcular tablas dinámicas manualmente cada semana.</w:t>
            </w:r>
          </w:p>
        </w:tc>
        <w:tc>
          <w:tcPr>
            <w:tcW w:type="dxa" w:w="3120"/>
            <w:shd w:fill="FFFFFF"/>
            <w:tcMar>
              <w:top w:w="90" w:type="dxa"/>
              <w:bottom w:w="90" w:type="dxa"/>
              <w:left w:w="120" w:type="dxa"/>
              <w:right w:w="120" w:type="dxa"/>
            </w:tcMar>
          </w:tcPr>
          <w:p>
            <w:pPr>
              <w:spacing w:after="0" w:line="269" w:lineRule="auto"/>
              <w:jc w:val="both"/>
            </w:pPr>
            <w:r>
              <w:rPr>
                <w:rFonts w:ascii="Arial Narrow" w:hAnsi="Arial Narrow"/>
                <w:b w:val="0"/>
                <w:color w:val="1E293B"/>
                <w:sz w:val="18"/>
              </w:rPr>
              <w:t>Tablero Ejecutivo en Tiempo Real con conmutador táctil de 3 modos: Tablas oficiales del Excel, Gráficos de carga o Ambos simultáneos.</w:t>
            </w:r>
          </w:p>
        </w:tc>
      </w:tr>
      <w:tr>
        <w:tc>
          <w:tcPr>
            <w:tcW w:type="dxa" w:w="3120"/>
            <w:shd w:fill="F8FAFC"/>
            <w:tcMar>
              <w:top w:w="90" w:type="dxa"/>
              <w:bottom w:w="90" w:type="dxa"/>
              <w:left w:w="120" w:type="dxa"/>
              <w:right w:w="120" w:type="dxa"/>
            </w:tcMar>
          </w:tcPr>
          <w:p>
            <w:pPr>
              <w:spacing w:after="0" w:line="269" w:lineRule="auto"/>
              <w:jc w:val="both"/>
            </w:pPr>
            <w:r>
              <w:rPr>
                <w:rFonts w:ascii="Arial Narrow" w:hAnsi="Arial Narrow"/>
                <w:b/>
                <w:color w:val="1E293B"/>
                <w:sz w:val="19"/>
              </w:rPr>
              <w:t>Seguridad y Trazabilidad CGR</w:t>
            </w:r>
          </w:p>
        </w:tc>
        <w:tc>
          <w:tcPr>
            <w:tcW w:type="dxa" w:w="3120"/>
            <w:shd w:fill="F8FAFC"/>
            <w:tcMar>
              <w:top w:w="90" w:type="dxa"/>
              <w:bottom w:w="90" w:type="dxa"/>
              <w:left w:w="120" w:type="dxa"/>
              <w:right w:w="120" w:type="dxa"/>
            </w:tcMar>
          </w:tcPr>
          <w:p>
            <w:pPr>
              <w:spacing w:after="0" w:line="269" w:lineRule="auto"/>
              <w:jc w:val="both"/>
            </w:pPr>
            <w:r>
              <w:rPr>
                <w:rFonts w:ascii="Arial Narrow" w:hAnsi="Arial Narrow"/>
                <w:b w:val="0"/>
                <w:color w:val="1E293B"/>
                <w:sz w:val="18"/>
              </w:rPr>
              <w:t>Nula. Cualquier persona podía alterar celdas o montos sin dejar rastro de autoría ni fecha de modificación.</w:t>
            </w:r>
          </w:p>
        </w:tc>
        <w:tc>
          <w:tcPr>
            <w:tcW w:type="dxa" w:w="3120"/>
            <w:shd w:fill="F8FAFC"/>
            <w:tcMar>
              <w:top w:w="90" w:type="dxa"/>
              <w:bottom w:w="90" w:type="dxa"/>
              <w:left w:w="120" w:type="dxa"/>
              <w:right w:w="120" w:type="dxa"/>
            </w:tcMar>
          </w:tcPr>
          <w:p>
            <w:pPr>
              <w:spacing w:after="0" w:line="269" w:lineRule="auto"/>
              <w:jc w:val="both"/>
            </w:pPr>
            <w:r>
              <w:rPr>
                <w:rFonts w:ascii="Arial Narrow" w:hAnsi="Arial Narrow"/>
                <w:b w:val="0"/>
                <w:color w:val="1E293B"/>
                <w:sz w:val="18"/>
              </w:rPr>
              <w:t>Trazabilidad histórica blindada. Cada derivación ('Pase') genera bitácora inalterable. Conexión protegida con PIN de seguridad '2026'.</w:t>
            </w:r>
          </w:p>
        </w:tc>
      </w:tr>
    </w:tbl>
    <w:p/>
    <w:p>
      <w:pPr>
        <w:spacing w:before="280" w:after="80"/>
      </w:pPr>
      <w:r>
        <w:rPr>
          <w:rFonts w:ascii="Arial Narrow" w:hAnsi="Arial Narrow"/>
          <w:b/>
          <w:color w:val="1E3A5F"/>
          <w:sz w:val="24"/>
        </w:rPr>
        <w:t>5. SÍNTESIS DE BENEFICIOS Y MEJORAS OPERATIVAS INCORPORADAS</w:t>
      </w:r>
    </w:p>
    <w:p>
      <w:pPr>
        <w:spacing w:before="60" w:after="60"/>
      </w:pPr>
      <w:r>
        <w:rPr>
          <w:rFonts w:ascii="Arial Narrow" w:hAnsi="Arial Narrow"/>
          <w:b/>
          <w:color w:val="0284C7"/>
        </w:rPr>
        <w:t xml:space="preserve">• Despliegue Inmediato Cero-Instalación: </w:t>
      </w:r>
      <w:r>
        <w:rPr>
          <w:rFonts w:ascii="Arial Narrow" w:hAnsi="Arial Narrow"/>
        </w:rPr>
        <w:t>Funciona directamente en la web a través de GitHub Pages. No requiere licencias de software, servidores físicos locales ni permisos de administrador en las computadoras institucionales.</w:t>
      </w:r>
    </w:p>
    <w:p>
      <w:pPr>
        <w:spacing w:before="60" w:after="60"/>
      </w:pPr>
      <w:r>
        <w:rPr>
          <w:rFonts w:ascii="Arial Narrow" w:hAnsi="Arial Narrow"/>
          <w:b/>
          <w:color w:val="0284C7"/>
        </w:rPr>
        <w:t xml:space="preserve">• Sincronización en la Nube con Google Sheets: </w:t>
      </w:r>
      <w:r>
        <w:rPr>
          <w:rFonts w:ascii="Arial Narrow" w:hAnsi="Arial Narrow"/>
        </w:rPr>
        <w:t>Integra un Webhook automatizado programado en Google Apps Script que actualiza la base de datos oficial en Google Drive cada vez que un especialista guarda o deriva un caso.</w:t>
      </w:r>
    </w:p>
    <w:p>
      <w:pPr>
        <w:spacing w:before="60" w:after="60"/>
      </w:pPr>
      <w:r>
        <w:rPr>
          <w:rFonts w:ascii="Arial Narrow" w:hAnsi="Arial Narrow"/>
          <w:b/>
          <w:color w:val="0284C7"/>
        </w:rPr>
        <w:t xml:space="preserve">• Mecanismo de Pase Rápido en 1 Clic: </w:t>
      </w:r>
      <w:r>
        <w:rPr>
          <w:rFonts w:ascii="Arial Narrow" w:hAnsi="Arial Narrow"/>
        </w:rPr>
        <w:t>Permite derivar formalmente un expediente entre instancias (PMO, OAJ, OPP, Dirección de Estudios, Procuraduría) en un solo toque, recalculando la fecha límite y registrando el memorando de traslado.</w:t>
      </w:r>
    </w:p>
    <w:p>
      <w:pPr>
        <w:spacing w:before="60" w:after="60"/>
      </w:pPr>
      <w:r>
        <w:rPr>
          <w:rFonts w:ascii="Arial Narrow" w:hAnsi="Arial Narrow"/>
          <w:b/>
          <w:color w:val="0284C7"/>
        </w:rPr>
        <w:t xml:space="preserve">• Semáforo de Riesgo y Alerta Fatal Preclusiva: </w:t>
      </w:r>
      <w:r>
        <w:rPr>
          <w:rFonts w:ascii="Arial Narrow" w:hAnsi="Arial Narrow"/>
        </w:rPr>
        <w:t>Detecta automáticamente los plazos fatales (time-bars y 28 días ante DAB) activando insignias rojas 'FATAL' para evitar consentimientos involuntarios con responsabilidad administrativa ante la CGR.</w:t>
      </w:r>
    </w:p>
    <w:p>
      <w:pPr>
        <w:spacing w:before="60" w:after="60"/>
      </w:pPr>
      <w:r>
        <w:rPr>
          <w:rFonts w:ascii="Arial Narrow" w:hAnsi="Arial Narrow"/>
          <w:b/>
          <w:color w:val="0284C7"/>
        </w:rPr>
        <w:t xml:space="preserve">• Respaldo Autónomo Offline y Descarga JSON: </w:t>
      </w:r>
      <w:r>
        <w:rPr>
          <w:rFonts w:ascii="Arial Narrow" w:hAnsi="Arial Narrow"/>
        </w:rPr>
        <w:t>Mantiene copia de seguridad en la memoria del navegador y permite exportar o importar la base de datos completa en archivo JSON con un solo clic.</w:t>
      </w:r>
    </w:p>
    <w:p>
      <w:pPr>
        <w:spacing w:before="280" w:after="80"/>
      </w:pPr>
      <w:r>
        <w:rPr>
          <w:rFonts w:ascii="Arial Narrow" w:hAnsi="Arial Narrow"/>
          <w:b/>
          <w:color w:val="1E3A5F"/>
          <w:sz w:val="24"/>
        </w:rPr>
        <w:t>6. CONCLUSIONES Y RECOMENDACIONES</w:t>
      </w:r>
    </w:p>
    <w:p>
      <w:r>
        <w:t>1. La migración del modelo de hojas de cálculo hacia la Aplicación Web de Gestión de Controversias G2G resuelve definitivamente las distorsiones de cálculo financiero, la duplicidad de registros y la pérdida de control de versiones que aquejaban a las matrices Excel.</w:t>
      </w:r>
    </w:p>
    <w:p>
      <w:r>
        <w:t>2. La creación de módulos separados e independientes para el Abogado y el Ingeniero representó el mayor acierto de usabilidad: elimina la sobrecarga de datos técnicos innecesarios para el área legal y proporciona al área de ingeniería y OPP la precisión cuantitativa requerida para la defensa del Estado.</w:t>
      </w:r>
    </w:p>
    <w:p>
      <w:r>
        <w:t>3. Se recomienda consolidar la aplicación web como el estándar oficial de seguimiento de la cartera G2G, promoviendo su consulta diaria por parte de los coordinadores de proyecto y la Jefatura para el monitoreo continuo de los indicadores de exposición y ruta crítica.</w:t>
      </w:r>
    </w:p>
    <w:p/>
    <w:p/>
    <w:p>
      <w:pPr>
        <w:spacing w:after="40"/>
        <w:jc w:val="center"/>
      </w:pPr>
      <w:r>
        <w:rPr>
          <w:rFonts w:ascii="Arial Narrow" w:hAnsi="Arial Narrow"/>
          <w:color w:val="64748B"/>
        </w:rPr>
        <w:t>_____________________________________________________</w:t>
        <w:br/>
      </w:r>
      <w:r>
        <w:rPr>
          <w:rFonts w:ascii="Arial Narrow" w:hAnsi="Arial Narrow"/>
          <w:b/>
          <w:color w:val="1E3A5F"/>
          <w:sz w:val="22"/>
        </w:rPr>
        <w:t>ING. MARCO AVILA</w:t>
        <w:br/>
      </w:r>
      <w:r>
        <w:rPr>
          <w:rFonts w:ascii="Arial Narrow" w:hAnsi="Arial Narrow"/>
          <w:color w:val="475569"/>
          <w:sz w:val="19"/>
        </w:rPr>
        <w:t>Especialista en Gestión Contractual, Modelamiento BIM y Solución de Controversias</w:t>
        <w:br/>
        <w:t>Provías Nacional — MTC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jc w:val="both"/>
    </w:pPr>
    <w:rPr>
      <w:rFonts w:ascii="Arial Narrow" w:hAnsi="Arial Narrow"/>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