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rial Narrow" w:hAnsi="Arial Narrow"/>
          <w:b/>
          <w:color w:val="64748B"/>
          <w:sz w:val="19"/>
        </w:rPr>
        <w:t>PROVÍAS NACIONAL — CARTERA DE INFRAESTRUCTURA G2G</w:t>
      </w:r>
    </w:p>
    <w:p>
      <w:pPr>
        <w:spacing w:after="280"/>
        <w:jc w:val="left"/>
      </w:pPr>
      <w:r>
        <w:rPr>
          <w:rFonts w:ascii="Arial Narrow" w:hAnsi="Arial Narrow"/>
          <w:color w:val="94A3B8"/>
          <w:sz w:val="17"/>
        </w:rPr>
        <w:t>GUÍA DE OPERACIÓN RÁPIDA Y ARQUITECTURA DIGITAL</w:t>
      </w:r>
    </w:p>
    <w:p>
      <w:pPr>
        <w:spacing w:after="80"/>
        <w:jc w:val="left"/>
      </w:pPr>
      <w:r>
        <w:rPr>
          <w:rFonts w:ascii="Arial Narrow" w:hAnsi="Arial Narrow"/>
          <w:b/>
          <w:color w:val="1E3A5F"/>
          <w:sz w:val="30"/>
        </w:rPr>
        <w:t>MANUAL PRÁCTICO DE USUARIO:</w:t>
      </w:r>
    </w:p>
    <w:p>
      <w:pPr>
        <w:spacing w:after="280"/>
        <w:jc w:val="left"/>
      </w:pPr>
      <w:r>
        <w:rPr>
          <w:rFonts w:ascii="Arial Narrow" w:hAnsi="Arial Narrow"/>
          <w:b/>
          <w:color w:val="0284C7"/>
          <w:sz w:val="23"/>
        </w:rPr>
        <w:t>APLICACIÓN WEB DE GESTIÓN DE CONTROVERSIAS Y MATRIZ LEGAL G2G</w:t>
        <w:br/>
        <w:t>GUÍA PASO A PASO PARA EL ABOGADO, EL INGENIERO Y LA JEFATURA | ARQUITECTURA EN LA NUBE (GITHUB + GOOGLE SHEETS)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2592"/>
            <w:shd w:fill="F8FAFC"/>
            <w:tcMar>
              <w:top w:w="60" w:type="dxa"/>
              <w:bottom w:w="60" w:type="dxa"/>
              <w:left w:w="100" w:type="dxa"/>
              <w:right w:w="100" w:type="dxa"/>
            </w:tcMar>
          </w:tcPr>
          <w:p>
            <w:pPr>
              <w:spacing w:after="0"/>
              <w:jc w:val="left"/>
            </w:pPr>
            <w:r>
              <w:rPr>
                <w:rFonts w:ascii="Arial Narrow" w:hAnsi="Arial Narrow"/>
                <w:b/>
                <w:color w:val="475569"/>
                <w:sz w:val="19"/>
              </w:rPr>
              <w:t>DIRIGIDO A:</w:t>
            </w:r>
          </w:p>
        </w:tc>
        <w:tc>
          <w:tcPr>
            <w:tcW w:type="dxa" w:w="6768"/>
            <w:tcMar>
              <w:top w:w="60" w:type="dxa"/>
              <w:bottom w:w="60" w:type="dxa"/>
              <w:left w:w="100" w:type="dxa"/>
              <w:right w:w="100" w:type="dxa"/>
            </w:tcMar>
          </w:tcPr>
          <w:p>
            <w:pPr>
              <w:spacing w:after="0"/>
              <w:jc w:val="both"/>
            </w:pPr>
            <w:r>
              <w:rPr>
                <w:rFonts w:ascii="Arial Narrow" w:hAnsi="Arial Narrow"/>
                <w:color w:val="1E293B"/>
                <w:sz w:val="19"/>
              </w:rPr>
              <w:t>Equipo Legal (OAJ/DGP), Ingenieros y Especialistas de Obra, Jefes de Proyecto y Alta Dirección</w:t>
            </w:r>
          </w:p>
        </w:tc>
      </w:tr>
      <w:tr>
        <w:tc>
          <w:tcPr>
            <w:tcW w:type="dxa" w:w="2592"/>
            <w:shd w:fill="F8FAFC"/>
            <w:tcMar>
              <w:top w:w="60" w:type="dxa"/>
              <w:bottom w:w="60" w:type="dxa"/>
              <w:left w:w="100" w:type="dxa"/>
              <w:right w:w="100" w:type="dxa"/>
            </w:tcMar>
          </w:tcPr>
          <w:p>
            <w:pPr>
              <w:spacing w:after="0"/>
              <w:jc w:val="left"/>
            </w:pPr>
            <w:r>
              <w:rPr>
                <w:rFonts w:ascii="Arial Narrow" w:hAnsi="Arial Narrow"/>
                <w:b/>
                <w:color w:val="475569"/>
                <w:sz w:val="19"/>
              </w:rPr>
              <w:t>PROPÓSITO:</w:t>
            </w:r>
          </w:p>
        </w:tc>
        <w:tc>
          <w:tcPr>
            <w:tcW w:type="dxa" w:w="6768"/>
            <w:tcMar>
              <w:top w:w="60" w:type="dxa"/>
              <w:bottom w:w="60" w:type="dxa"/>
              <w:left w:w="100" w:type="dxa"/>
              <w:right w:w="100" w:type="dxa"/>
            </w:tcMar>
          </w:tcPr>
          <w:p>
            <w:pPr>
              <w:spacing w:after="0"/>
              <w:jc w:val="both"/>
            </w:pPr>
            <w:r>
              <w:rPr>
                <w:rFonts w:ascii="Arial Narrow" w:hAnsi="Arial Narrow"/>
                <w:color w:val="1E293B"/>
                <w:sz w:val="19"/>
              </w:rPr>
              <w:t>Guía sumamente práctica, directa y sin tecnicismos para el registro, consulta y control de controversias</w:t>
            </w:r>
          </w:p>
        </w:tc>
      </w:tr>
      <w:tr>
        <w:tc>
          <w:tcPr>
            <w:tcW w:type="dxa" w:w="2592"/>
            <w:shd w:fill="F8FAFC"/>
            <w:tcMar>
              <w:top w:w="60" w:type="dxa"/>
              <w:bottom w:w="60" w:type="dxa"/>
              <w:left w:w="100" w:type="dxa"/>
              <w:right w:w="100" w:type="dxa"/>
            </w:tcMar>
          </w:tcPr>
          <w:p>
            <w:pPr>
              <w:spacing w:after="0"/>
              <w:jc w:val="left"/>
            </w:pPr>
            <w:r>
              <w:rPr>
                <w:rFonts w:ascii="Arial Narrow" w:hAnsi="Arial Narrow"/>
                <w:b/>
                <w:color w:val="475569"/>
                <w:sz w:val="19"/>
              </w:rPr>
              <w:t>ACCESO AL SISTEMA:</w:t>
            </w:r>
          </w:p>
        </w:tc>
        <w:tc>
          <w:tcPr>
            <w:tcW w:type="dxa" w:w="6768"/>
            <w:tcMar>
              <w:top w:w="60" w:type="dxa"/>
              <w:bottom w:w="60" w:type="dxa"/>
              <w:left w:w="100" w:type="dxa"/>
              <w:right w:w="100" w:type="dxa"/>
            </w:tcMar>
          </w:tcPr>
          <w:p>
            <w:pPr>
              <w:spacing w:after="0"/>
              <w:jc w:val="both"/>
            </w:pPr>
            <w:r>
              <w:rPr>
                <w:rFonts w:ascii="Arial Narrow" w:hAnsi="Arial Narrow"/>
                <w:color w:val="1E293B"/>
                <w:sz w:val="19"/>
              </w:rPr>
              <w:t>https://marcavip-eng.github.io/gestion-controversias-g2g/ (Acceso Web y Celular)</w:t>
            </w:r>
          </w:p>
        </w:tc>
      </w:tr>
      <w:tr>
        <w:tc>
          <w:tcPr>
            <w:tcW w:type="dxa" w:w="2592"/>
            <w:shd w:fill="F8FAFC"/>
            <w:tcMar>
              <w:top w:w="60" w:type="dxa"/>
              <w:bottom w:w="60" w:type="dxa"/>
              <w:left w:w="100" w:type="dxa"/>
              <w:right w:w="100" w:type="dxa"/>
            </w:tcMar>
          </w:tcPr>
          <w:p>
            <w:pPr>
              <w:spacing w:after="0"/>
              <w:jc w:val="left"/>
            </w:pPr>
            <w:r>
              <w:rPr>
                <w:rFonts w:ascii="Arial Narrow" w:hAnsi="Arial Narrow"/>
                <w:b/>
                <w:color w:val="475569"/>
                <w:sz w:val="19"/>
              </w:rPr>
              <w:t>VERSIÓN DE LA APP:</w:t>
            </w:r>
          </w:p>
        </w:tc>
        <w:tc>
          <w:tcPr>
            <w:tcW w:type="dxa" w:w="6768"/>
            <w:tcMar>
              <w:top w:w="60" w:type="dxa"/>
              <w:bottom w:w="60" w:type="dxa"/>
              <w:left w:w="100" w:type="dxa"/>
              <w:right w:w="100" w:type="dxa"/>
            </w:tcMar>
          </w:tcPr>
          <w:p>
            <w:pPr>
              <w:spacing w:after="0"/>
              <w:jc w:val="both"/>
            </w:pPr>
            <w:r>
              <w:rPr>
                <w:rFonts w:ascii="Arial Narrow" w:hAnsi="Arial Narrow"/>
                <w:color w:val="1E293B"/>
                <w:sz w:val="19"/>
              </w:rPr>
              <w:t>Versión 2.0 (Con Módulos Especializados y Sincronización en Nube)</w:t>
            </w:r>
          </w:p>
        </w:tc>
      </w:tr>
    </w:tbl>
    <w:p/>
    <w:p>
      <w:pPr>
        <w:spacing w:before="240" w:after="80"/>
      </w:pPr>
      <w:r>
        <w:rPr>
          <w:rFonts w:ascii="Arial Narrow" w:hAnsi="Arial Narrow"/>
          <w:b/>
          <w:color w:val="1E3A5F"/>
          <w:sz w:val="24"/>
        </w:rPr>
        <w:t>1. INTRODUCCIÓN Y FORMA DE INGRESO</w:t>
      </w:r>
    </w:p>
    <w:p>
      <w:r>
        <w:t>Esta aplicación web fue creada para solucionar de forma definitiva el desorden de los archivos Excel y tener un único lugar en internet donde la Entidad controla en tiempo real todas las atenciones legales, reclamos y controversias de los megaproyectos de Gobierno a Gobierno (Nueva Carretera Central, Vía Expresa Santa Rosa, Eje Vial 4 y Puentes Sierra Central).</w:t>
      </w:r>
    </w:p>
    <w:p>
      <w:r>
        <w:t>Para ingresar, no se necesita instalar ningún programa en la computadora ni descargar archivos pesados. Solo debe abrir su navegador favorito (Google Chrome, Microsoft Edge o Safari en iPhone/Android) e ingresar al enlace del sistema. La aplicación carga al instante y funciona con la misma fluidez tanto en una pantalla grande de oficina como en la pantalla de su teléfono celular.</w:t>
      </w:r>
    </w:p>
    <w:p>
      <w:pPr>
        <w:spacing w:before="280" w:after="80"/>
      </w:pPr>
      <w:r>
        <w:rPr>
          <w:rFonts w:ascii="Arial Narrow" w:hAnsi="Arial Narrow"/>
          <w:b/>
          <w:color w:val="1E3A5F"/>
          <w:sz w:val="24"/>
        </w:rPr>
        <w:t>2. GUÍA RÁPIDA PARA EL ABOGADO (MÓDULO LEGAL)</w:t>
      </w:r>
    </w:p>
    <w:p>
      <w:r>
        <w:t>El módulo del abogado fue pensado especialmente para su comodidad: se han eliminado todas las fórmulas numéricas, los cronogramas WBS y los términos contables que antes estorbaban en el Excel. Aquí el abogado solo llena y revisa los datos estrictamente jurídicos y procesales del caso.</w:t>
      </w:r>
    </w:p>
    <w:p>
      <w:pPr>
        <w:spacing w:before="60" w:after="60"/>
      </w:pPr>
      <w:r>
        <w:rPr>
          <w:rFonts w:ascii="Arial Narrow" w:hAnsi="Arial Narrow"/>
          <w:b/>
          <w:color w:val="B45309"/>
        </w:rPr>
        <w:t>Paso 1: ¿Cómo ingresar al Modo Abogado?</w:t>
        <w:br/>
      </w:r>
      <w:r>
        <w:rPr>
          <w:rFonts w:ascii="Arial Narrow" w:hAnsi="Arial Narrow"/>
        </w:rPr>
        <w:t>En la pantalla principal, puede presionar el botón '⚖️ Módulo Legal (Abogado)' ubicado en la barra superior de la tabla, o hacer clic directamente en el botón ámbar '⚖️ Abogado' que aparece al pie de cada tarjeta de caso. Al hacerlo, el formulario se configura automáticamente en modo legal.</w:t>
      </w:r>
    </w:p>
    <w:p>
      <w:pPr>
        <w:spacing w:before="60" w:after="60"/>
      </w:pPr>
      <w:r>
        <w:rPr>
          <w:rFonts w:ascii="Arial Narrow" w:hAnsi="Arial Narrow"/>
          <w:b/>
          <w:color w:val="B45309"/>
        </w:rPr>
        <w:t>Paso 2: ¿Qué datos debe llenar?</w:t>
        <w:br/>
      </w:r>
      <w:r>
        <w:rPr>
          <w:rFonts w:ascii="Arial Narrow" w:hAnsi="Arial Narrow"/>
        </w:rPr>
        <w:t>El abogado solo interactúa con los 13 datos oficiales de su expediente, organizados en dos pestañas claras:</w:t>
        <w:br/>
        <w:t>• Pestaña 1 (Identificación y Asunto): Proyecto, Tipo de atención (Trato directo, CE, DAB, Arbitraje), Régimen contractual, Asunto resumido, Categoría del problema y Número de Expediente SISGEDO.</w:t>
        <w:br/>
        <w:t>• Pestaña 2 (Trámite y Plazos Procesales): Posición y Conclusión de Provías, Documentos de sustento, Instancia actual, Responsable legal, Estado procesal, Fecha límite y Próxima acción requerida.</w:t>
      </w:r>
    </w:p>
    <w:p>
      <w:pPr>
        <w:spacing w:before="60" w:after="60"/>
      </w:pPr>
      <w:r>
        <w:rPr>
          <w:rFonts w:ascii="Arial Narrow" w:hAnsi="Arial Narrow"/>
          <w:b/>
          <w:color w:val="B45309"/>
        </w:rPr>
        <w:t>Paso 3: ¿Cómo guardar el caso?</w:t>
        <w:br/>
      </w:r>
      <w:r>
        <w:rPr>
          <w:rFonts w:ascii="Arial Narrow" w:hAnsi="Arial Narrow"/>
        </w:rPr>
        <w:t>En el pie del formulario encontrará siempre visible el botón verde '💾 Guardar Expediente Legal'. Puede hacer clic en él en cualquier momento desde el Paso 1 o Paso 2. El sistema guarda de inmediato sin pedirle datos de costos ni bloquear la pantalla.</w:t>
      </w:r>
    </w:p>
    <w:p>
      <w:pPr>
        <w:spacing w:before="60" w:after="60"/>
      </w:pPr>
      <w:r>
        <w:rPr>
          <w:rFonts w:ascii="Arial Narrow" w:hAnsi="Arial Narrow"/>
          <w:b/>
          <w:color w:val="B45309"/>
        </w:rPr>
        <w:t>Paso 4: ¿Cómo dar un 'Pase' o derivar el caso a otra área?</w:t>
        <w:br/>
      </w:r>
      <w:r>
        <w:rPr>
          <w:rFonts w:ascii="Arial Narrow" w:hAnsi="Arial Narrow"/>
        </w:rPr>
        <w:t>Si el caso debe trasladarse a otra dependencia (por ejemplo, enviarlo de DGP a OAJ, a OPP o a la PMO), no necesita abrir todo el formulario. Solo haga clic en el botón 'Pase' en la tarjeta o tabla, elija la instancia de destino en la lista desplegable, escriba el número de memorando de traslado, fije la nueva fecha límite y pulse 'Confirmar Pase'. El caso quedará derivado formalmente con fecha y hora inalterables.</w:t>
      </w:r>
    </w:p>
    <w:p>
      <w:pPr>
        <w:spacing w:before="280" w:after="80"/>
      </w:pPr>
      <w:r>
        <w:rPr>
          <w:rFonts w:ascii="Arial Narrow" w:hAnsi="Arial Narrow"/>
          <w:b/>
          <w:color w:val="1E3A5F"/>
          <w:sz w:val="24"/>
        </w:rPr>
        <w:t>3. GUÍA RÁPIDA PARA EL INGENIERO (MÓDULO TÉCNICO Y COSTOS)</w:t>
      </w:r>
    </w:p>
    <w:p>
      <w:r>
        <w:t>El módulo del ingeniero está enfocado en lo que realmente importa para la gestión técnica de obra: el cronograma físico (demoras de obra) y la evaluación cuantitativa de costos (quantum) para no pagar de más al contratista.</w:t>
      </w:r>
    </w:p>
    <w:p>
      <w:pPr>
        <w:spacing w:before="60" w:after="60"/>
      </w:pPr>
      <w:r>
        <w:rPr>
          <w:rFonts w:ascii="Arial Narrow" w:hAnsi="Arial Narrow"/>
          <w:b/>
          <w:color w:val="0284C7"/>
        </w:rPr>
        <w:t>Paso 1: ¿Cómo ingresar al Modo Ingeniero?</w:t>
        <w:br/>
      </w:r>
      <w:r>
        <w:rPr>
          <w:rFonts w:ascii="Arial Narrow" w:hAnsi="Arial Narrow"/>
        </w:rPr>
        <w:t>Haga clic en el botón '🏗️ Módulo Técnico (Ingeniero)' en la barra superior o en el botón azul '🏗️ Ingeniero' en cualquiera de las tarjetas de casos. El formulario abrirá directamente las pestañas técnicas y económicas.</w:t>
      </w:r>
    </w:p>
    <w:p>
      <w:pPr>
        <w:spacing w:before="60" w:after="60"/>
      </w:pPr>
      <w:r>
        <w:rPr>
          <w:rFonts w:ascii="Arial Narrow" w:hAnsi="Arial Narrow"/>
          <w:b/>
          <w:color w:val="0284C7"/>
        </w:rPr>
        <w:t>Paso 2: ¿Qué datos de obra debe llenar?</w:t>
        <w:br/>
      </w:r>
      <w:r>
        <w:rPr>
          <w:rFonts w:ascii="Arial Narrow" w:hAnsi="Arial Narrow"/>
        </w:rPr>
        <w:t>En la Pestaña 3 ('WBS, Cronograma y Mitigación'), el ingeniero registra:</w:t>
        <w:br/>
        <w:t>• Código WBS y Actividad afectada de la obra.</w:t>
        <w:br/>
        <w:t>• ¿Afecta Ruta Crítica? (Seleccionar 'Sí' o 'No').</w:t>
        <w:br/>
        <w:t>• Holgura total disponible en días y Afectación estimada al plazo de terminación.</w:t>
        <w:br/>
        <w:t>• Medida de mitigación técnica adoptada para recuperar el atraso.</w:t>
      </w:r>
    </w:p>
    <w:p>
      <w:pPr>
        <w:spacing w:before="60" w:after="60"/>
      </w:pPr>
      <w:r>
        <w:rPr>
          <w:rFonts w:ascii="Arial Narrow" w:hAnsi="Arial Narrow"/>
          <w:b/>
          <w:color w:val="0284C7"/>
        </w:rPr>
        <w:t>Paso 3: ¿Cómo evaluar los Costos y Cuantías?</w:t>
        <w:br/>
      </w:r>
      <w:r>
        <w:rPr>
          <w:rFonts w:ascii="Arial Narrow" w:hAnsi="Arial Narrow"/>
        </w:rPr>
        <w:t>En la Pestaña 4 ('Cuantía y Presupuesto OPP'), el ingeniero analiza los importes económicos:</w:t>
        <w:br/>
        <w:t>• Moneda de origen y Monto Reclamado (lo que exige el contratista en su carta o arbitraje).</w:t>
        <w:br/>
        <w:t>• Escenario Probable (la estimación técnica real y objetiva de cuánto le corresponde a la Entidad asumir según los costos directos e indirectos comprobados).</w:t>
        <w:br/>
        <w:t>• Cobertura Presupuestal disponible y Brecha calculada (déficit de recursos que OPP debe tramitar).</w:t>
      </w:r>
    </w:p>
    <w:p>
      <w:pPr>
        <w:spacing w:before="60" w:after="60"/>
      </w:pPr>
      <w:r>
        <w:rPr>
          <w:rFonts w:ascii="Arial Narrow" w:hAnsi="Arial Narrow"/>
          <w:b/>
          <w:color w:val="0284C7"/>
        </w:rPr>
        <w:t>Paso 4: Guardado Flexible sin Trabas:</w:t>
        <w:br/>
      </w:r>
      <w:r>
        <w:rPr>
          <w:rFonts w:ascii="Arial Narrow" w:hAnsi="Arial Narrow"/>
        </w:rPr>
        <w:t>El ingeniero puede guardar el avance técnico en cualquier momento usando el botón '💾 Guardar Avance Técnico'. Si el análisis de costos aún no está terminado, puede dejar los escenarios en cero y completarlos después sin ningún problema.</w:t>
      </w:r>
    </w:p>
    <w:p>
      <w:pPr>
        <w:spacing w:before="280" w:after="80"/>
      </w:pPr>
      <w:r>
        <w:rPr>
          <w:rFonts w:ascii="Arial Narrow" w:hAnsi="Arial Narrow"/>
          <w:b/>
          <w:color w:val="1E3A5F"/>
          <w:sz w:val="24"/>
        </w:rPr>
        <w:t>4. GUÍA RÁPIDA PARA EL JEFE Y LA ALTA DIRECCIÓN (MONITOREO EJECUTIVO)</w:t>
      </w:r>
    </w:p>
    <w:p>
      <w:r>
        <w:t>Para la Jefatura y la Dirección, el tiempo es valioso. La aplicación ofrece un Tablero Ejecutivo de control gerencial que responde en segundos las tres preguntas clave: ¿Cuánto dinero hay en riesgo? ¿Qué casos están por vencer? y ¿Dónde están los cuellos de botella?</w:t>
      </w:r>
    </w:p>
    <w:p>
      <w:r>
        <w:rPr>
          <w:b/>
          <w:color w:val="1E3A5F"/>
        </w:rPr>
        <w:t>A. Las 6 Tarjetas de Indicadores en Tiempo Real:</w:t>
        <w:br/>
      </w:r>
    </w:p>
    <w:p>
      <w:r>
        <w:t>En la parte superior de la pantalla, la Jefatura tiene 6 tarjetas interactivas que se recalculan solas:</w:t>
        <w:br/>
        <w:t>1. Casos Abiertos: Cantidad total de expedientes activos en la cartera.</w:t>
        <w:br/>
        <w:t>2. P1 - Críticos: Casos que exigen atención prioritaria inmediata.</w:t>
        <w:br/>
        <w:t>3. Vencidos / Por Vencer: Casos cuyo plazo contractual ya expiró o vence en los próximos 7 días.</w:t>
        <w:br/>
        <w:t>4. Ruta Crítica WBS: Controversias que paralizan o demoran la fecha de entrega final de las obras.</w:t>
        <w:br/>
        <w:t>5. Exposición Probable: Monto total real en Soles (PEN) que el Estado estima que podría tener que asumir (actualmente S/ 59,416,438).</w:t>
        <w:br/>
        <w:t>6. Brecha Presupuestal: Déficit de dinero que la oficina de presupuesto (OPP) debe fondear.</w:t>
      </w:r>
    </w:p>
    <w:p>
      <w:r>
        <w:rPr>
          <w:b/>
          <w:color w:val="1E3A5F"/>
        </w:rPr>
        <w:t>B. Conmutador de Vistas del Tablero Ejecutivo (Tablas vs Gráficos):</w:t>
        <w:br/>
      </w:r>
    </w:p>
    <w:p>
      <w:r>
        <w:t>Justo debajo de las tarjetas KPI, el Jefe tiene tres botones para elegir cómo desea ver la información consolidada según la reunión en la que se encuentre:</w:t>
        <w:br/>
        <w:t>• Botón '📋 Tablas Excel': Despliega las dos tablas oficiales idénticas a las del Excel del Ingeniero (Resumen por Proyecto a la izquierda y Casos por Instancia a la derecha) con sumas exactas y totales al pie.</w:t>
        <w:br/>
        <w:t>• Botón '📊 Gráficos': Despliega gráficos de barras visuales con colores por proyecto y alertas automáticas de 'Carga Alta' en dependencias saturadas.</w:t>
        <w:br/>
        <w:t>• Botón '🔀 Ver Ambos': Muestra de forma combinada tanto las tablas analíticas como los gráficos visuales.</w:t>
      </w:r>
    </w:p>
    <w:p>
      <w:r>
        <w:rPr>
          <w:b/>
          <w:color w:val="1E3A5F"/>
        </w:rPr>
        <w:t>C. Filtrado Rápido con 1 Solo Clic:</w:t>
        <w:br/>
      </w:r>
    </w:p>
    <w:p>
      <w:r>
        <w:t>El Jefe no necesita aplicar filtros complejos: al hacer clic sobre cualquier fila de la tabla ejecutiva (por ejemplo, tocar la fila 'NCC' o tocar la fila 'OAJ'), toda la lista de casos y tarjetas inferiores se filtra automáticamente mostrando únicamente los expedientes de ese proyecto o de esa oficina.</w:t>
      </w:r>
    </w:p>
    <w:p>
      <w:pPr>
        <w:spacing w:before="280" w:after="80"/>
      </w:pPr>
      <w:r>
        <w:rPr>
          <w:rFonts w:ascii="Arial Narrow" w:hAnsi="Arial Narrow"/>
          <w:b/>
          <w:color w:val="1E3A5F"/>
          <w:sz w:val="24"/>
        </w:rPr>
        <w:t>5. ¿CÓMO FUNCIONA LA APLICACIÓN POR DENTRO? (ARQUITECTURA GITHUB + GOOGLE SHEETS)</w:t>
      </w:r>
    </w:p>
    <w:p>
      <w:r>
        <w:t>Para garantizar transparencia y fácil mantenimiento por parte del equipo informático o de gestión, la solución se construyó sobre una arquitectura moderna, segura y de costo cero para el Estado peruano, combinando dos componentes clave:</w:t>
      </w:r>
    </w:p>
    <w:tbl>
      <w:tblPr>
        <w:tblW w:type="auto" w:w="0"/>
        <w:jc w:val="center"/>
        <w:tblLook w:firstColumn="1" w:firstRow="1" w:lastColumn="0" w:lastRow="0" w:noHBand="0" w:noVBand="1" w:val="04A0"/>
      </w:tblPr>
      <w:tblGrid>
        <w:gridCol w:w="9360"/>
      </w:tblGrid>
      <w:tr>
        <w:tc>
          <w:tcPr>
            <w:tcW w:type="dxa" w:w="9360"/>
            <w:shd w:fill="F8FAFC"/>
            <w:tcMar>
              <w:top w:w="130" w:type="dxa"/>
              <w:bottom w:w="130" w:type="dxa"/>
              <w:left w:w="170" w:type="dxa"/>
              <w:right w:w="170" w:type="dxa"/>
            </w:tcMar>
            <w:tcBorders>
              <w:left w:val="single" w:sz="24" w:space="0" w:color="1E3A5F"/>
              <w:top w:val="none"/>
              <w:right w:val="none"/>
              <w:bottom w:val="none"/>
            </w:tcBorders>
          </w:tcPr>
          <w:p>
            <w:pPr>
              <w:spacing w:after="0" w:line="276" w:lineRule="auto"/>
              <w:jc w:val="both"/>
            </w:pPr>
            <w:r>
              <w:rPr>
                <w:rFonts w:ascii="Arial Narrow" w:hAnsi="Arial Narrow"/>
                <w:b/>
                <w:color w:val="1E3A5F"/>
                <w:sz w:val="21"/>
              </w:rPr>
              <w:t xml:space="preserve">FLUJO TECNOLÓGICO DE LA APLICACIÓN: </w:t>
            </w:r>
            <w:r>
              <w:rPr>
                <w:rFonts w:ascii="Arial Narrow" w:hAnsi="Arial Narrow"/>
                <w:color w:val="1E293B"/>
                <w:sz w:val="21"/>
              </w:rPr>
              <w:t>1. Interfaz de Usuario (PC / Celular) —&gt; Alojada en GITHUB PAGES (Código HTML5 / JS ligero y ultra rápido)</w:t>
              <w:br/>
              <w:t>2. Canal de Sincronización —&gt; WEBHOOK seguro programado en GOOGLE APPS SCRIPT (Con PIN de protección '2026')</w:t>
              <w:br/>
              <w:t>3. Base de Datos Central —&gt; Hoja de cálculo oficial en GOOGLE DRIVE (Google Sheets con respaldo histórico)</w:t>
            </w:r>
          </w:p>
        </w:tc>
      </w:tr>
    </w:tbl>
    <w:p/>
    <w:p>
      <w:r>
        <w:t>A. ¿Qué hace GitHub y por qué se utiliza? (GitHub Pages):</w:t>
        <w:br/>
        <w:t>GitHub es el repositorio digital donde reside el código de la aplicación (los archivos que forman la página web). A través de su servicio 'GitHub Pages', la página se publica automáticamente en internet de manera gratuita, rápida y con certificado de seguridad (candado HTTPS). Esto significa que la aplicación no depende de computadoras locales que puedan apagarse, no consume espacio en los servidores internos de Provías y está disponible las 24 horas del día para cualquier funcionario autorizado.</w:t>
      </w:r>
    </w:p>
    <w:p>
      <w:r>
        <w:t>B. ¿Qué hace Google Apps Script y el Webhook?:</w:t>
        <w:br/>
        <w:t>Google Apps Script es una plataforma de programación en la nube de Google. En ella se creó un pequeño programa seguro llamado 'Webhook'. Cuando el abogado o el ingeniero pulsa 'Guardar' en la web, la aplicación envía un mensaje cifrado a través de internet con los datos del caso y un PIN de seguridad institucional ('2026'). El Webhook recibe el mensaje, comprueba que el PIN sea correcto y abre la hoja de cálculo de Google Sheets en la nube para actualizar de inmediato la fila correspondiente.</w:t>
      </w:r>
    </w:p>
    <w:p>
      <w:r>
        <w:t>C. ¿Dónde se guarda la información oficial? (Google Sheets):</w:t>
        <w:br/>
        <w:t>La base de datos maestra no está escondida en un servidor inaccesible; reside en una hoja de Google Sheets en la nube de la Entidad. Esto permite que la Jefatura o el área de sistemas puedan abrir el Google Sheets en cualquier momento para extraer reportes, hacer copias de seguridad o vincular los datos con tableros de Power BI.</w:t>
      </w:r>
    </w:p>
    <w:p>
      <w:r>
        <w:t>D. Seguridad ante Cortes de Internet (Modo Offline y Copia Local):</w:t>
        <w:br/>
        <w:t>Si un ingeniero o abogado se encuentra en una zona de obra sin señal o con internet inestable, la aplicación guarda automáticamente los cambios en la memoria interna de su propio navegador web (localStorage). Además, cuenta con un botón en la barra superior para descargar un archivo de copia de seguridad (.json) que puede guardarse en la computadora como respaldo de contingencia.</w:t>
      </w:r>
    </w:p>
    <w:p>
      <w:pPr>
        <w:spacing w:before="280" w:after="80"/>
      </w:pPr>
      <w:r>
        <w:rPr>
          <w:rFonts w:ascii="Arial Narrow" w:hAnsi="Arial Narrow"/>
          <w:b/>
          <w:color w:val="1E3A5F"/>
          <w:sz w:val="24"/>
        </w:rPr>
        <w:t>6. RECOMENDACIONES FINALES PARA EL BUEN USO DE LA HERRAMIENTA</w:t>
      </w:r>
    </w:p>
    <w:p>
      <w:r>
        <w:t>1. No compartir el PIN de seguridad ('2026') con personas externas a la cartera de proyectos, ya que este código es la llave que autoriza la sincronización directa con la base de datos de la Entidad.</w:t>
      </w:r>
    </w:p>
    <w:p>
      <w:r>
        <w:t>2. Realizar las derivaciones siempre mediante el botón 'Pase', de modo que quede constancia del documento de traslado y de la nueva fecha de vencimiento asignada al área receptora.</w:t>
      </w:r>
    </w:p>
    <w:p>
      <w:r>
        <w:t>3. Revisar semanalmente las alertas de color rojo 'FATAL' en el tablero superior para prevenir la caducidad involuntaria de plazos contractuales y evitar observaciones del Órgano de Control Institucional (OCI - CGR).</w:t>
      </w:r>
    </w:p>
    <w:p/>
    <w:p/>
    <w:p>
      <w:pPr>
        <w:spacing w:after="40"/>
        <w:jc w:val="center"/>
      </w:pPr>
      <w:r>
        <w:rPr>
          <w:rFonts w:ascii="Arial Narrow" w:hAnsi="Arial Narrow"/>
          <w:color w:val="64748B"/>
        </w:rPr>
        <w:t>_____________________________________________________</w:t>
        <w:br/>
      </w:r>
      <w:r>
        <w:rPr>
          <w:rFonts w:ascii="Arial Narrow" w:hAnsi="Arial Narrow"/>
          <w:b/>
          <w:color w:val="1E3A5F"/>
          <w:sz w:val="22"/>
        </w:rPr>
        <w:t>ING. MARCO AVILA</w:t>
        <w:br/>
      </w:r>
      <w:r>
        <w:rPr>
          <w:rFonts w:ascii="Arial Narrow" w:hAnsi="Arial Narrow"/>
          <w:color w:val="475569"/>
          <w:sz w:val="19"/>
        </w:rPr>
        <w:t>Especialista en Gestión Contractual, Modelamiento BIM y Solución de Controversias</w:t>
        <w:br/>
        <w:t>Provías Nacional — MTC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jc w:val="both"/>
    </w:pPr>
    <w:rPr>
      <w:rFonts w:ascii="Arial Narrow" w:hAnsi="Arial Narrow"/>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