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Arial Narrow" w:hAnsi="Arial Narrow"/>
          <w:b/>
          <w:color w:val="475569"/>
          <w:sz w:val="22"/>
        </w:rPr>
        <w:t>PROVÍAS NACIONAL — CARTERA DE INFRAESTRUCTURA G2G</w:t>
      </w:r>
    </w:p>
    <w:p>
      <w:pPr>
        <w:spacing w:after="80"/>
        <w:jc w:val="left"/>
      </w:pPr>
      <w:r>
        <w:rPr>
          <w:rFonts w:ascii="Arial Narrow" w:hAnsi="Arial Narrow"/>
          <w:b/>
          <w:color w:val="003087"/>
          <w:sz w:val="24"/>
        </w:rPr>
        <w:t>GUÍA DE OPERACIÓN RÁPIDA, VALIDACIÓN LEGAL Y DESPACHO GERENCIAL</w:t>
      </w:r>
    </w:p>
    <w:p>
      <w:pPr>
        <w:spacing w:after="40"/>
        <w:jc w:val="left"/>
      </w:pPr>
      <w:r>
        <w:rPr>
          <w:rFonts w:ascii="Arial Narrow" w:hAnsi="Arial Narrow"/>
          <w:b/>
          <w:color w:val="1E293B"/>
          <w:sz w:val="36"/>
        </w:rPr>
        <w:t>MANUAL PRÁCTICO DE USUARIO: MATRIZ Y APP WEB DE CONTROVERSIAS G2G</w:t>
      </w:r>
    </w:p>
    <w:p>
      <w:pPr>
        <w:spacing w:after="160"/>
        <w:jc w:val="left"/>
      </w:pPr>
      <w:r>
        <w:rPr>
          <w:rFonts w:ascii="Arial Narrow" w:hAnsi="Arial Narrow"/>
          <w:i/>
          <w:color w:val="64748B"/>
          <w:sz w:val="21"/>
        </w:rPr>
        <w:t>GUÍA PASO A PASO PARA EL ABOGADO, EL INGENIERO Y LA ALTA DIRECCIÓN (INCLUYE VALIDACIÓN LEGAL, ENVÍO A OTRAS INSTANCIAS Y SINCRONIZACIÓN EN NUBE)</w:t>
      </w:r>
    </w:p>
    <w:tbl>
      <w:tblPr>
        <w:tblW w:type="auto" w:w="0"/>
        <w:tblLayout w:type="fixed"/>
        <w:tblLook w:firstColumn="1" w:firstRow="1" w:lastColumn="0" w:lastRow="0" w:noHBand="0" w:noVBand="1" w:val="04A0"/>
      </w:tblPr>
      <w:tblGrid>
        <w:gridCol w:w="3168"/>
        <w:gridCol w:w="6192"/>
      </w:tblGrid>
      <w:tr>
        <w:tc>
          <w:tcPr>
            <w:tcW w:type="dxa" w:w="4680"/>
            <w:shd w:fill="F1F5F9"/>
          </w:tcPr>
          <w:p>
            <w:pPr>
              <w:spacing w:after="20"/>
              <w:jc w:val="left"/>
            </w:pPr>
            <w:r>
              <w:rPr>
                <w:rFonts w:ascii="Arial Narrow" w:hAnsi="Arial Narrow"/>
                <w:b/>
                <w:color w:val="1E293B"/>
                <w:sz w:val="19"/>
              </w:rPr>
              <w:t>DIRIGIDO A:</w:t>
            </w:r>
          </w:p>
        </w:tc>
        <w:tc>
          <w:tcPr>
            <w:tcW w:type="dxa" w:w="4680"/>
          </w:tcPr>
          <w:p>
            <w:pPr>
              <w:spacing w:after="20"/>
              <w:jc w:val="left"/>
            </w:pPr>
            <w:r>
              <w:rPr>
                <w:rFonts w:ascii="Arial Narrow" w:hAnsi="Arial Narrow"/>
                <w:color w:val="333333"/>
                <w:sz w:val="19"/>
              </w:rPr>
              <w:t>Equipo Legal (OAJ/DGP), Ingenieros de Obra, Jefes de Proyecto y Alta Dirección</w:t>
            </w:r>
          </w:p>
        </w:tc>
      </w:tr>
      <w:tr>
        <w:tc>
          <w:tcPr>
            <w:tcW w:type="dxa" w:w="4680"/>
            <w:shd w:fill="F1F5F9"/>
          </w:tcPr>
          <w:p>
            <w:pPr>
              <w:spacing w:after="20"/>
              <w:jc w:val="left"/>
            </w:pPr>
            <w:r>
              <w:rPr>
                <w:rFonts w:ascii="Arial Narrow" w:hAnsi="Arial Narrow"/>
                <w:b/>
                <w:color w:val="1E293B"/>
                <w:sz w:val="19"/>
              </w:rPr>
              <w:t>PROPÓSITO:</w:t>
            </w:r>
          </w:p>
        </w:tc>
        <w:tc>
          <w:tcPr>
            <w:tcW w:type="dxa" w:w="4680"/>
          </w:tcPr>
          <w:p>
            <w:pPr>
              <w:spacing w:after="20"/>
              <w:jc w:val="left"/>
            </w:pPr>
            <w:r>
              <w:rPr>
                <w:rFonts w:ascii="Arial Narrow" w:hAnsi="Arial Narrow"/>
                <w:color w:val="333333"/>
                <w:sz w:val="19"/>
              </w:rPr>
              <w:t>Guía sumamente práctica y directa para registro, validación legal periódica, derivación a otras instancias y control de controversias</w:t>
            </w:r>
          </w:p>
        </w:tc>
      </w:tr>
      <w:tr>
        <w:tc>
          <w:tcPr>
            <w:tcW w:type="dxa" w:w="4680"/>
            <w:shd w:fill="F1F5F9"/>
          </w:tcPr>
          <w:p>
            <w:pPr>
              <w:spacing w:after="20"/>
              <w:jc w:val="left"/>
            </w:pPr>
            <w:r>
              <w:rPr>
                <w:rFonts w:ascii="Arial Narrow" w:hAnsi="Arial Narrow"/>
                <w:b/>
                <w:color w:val="1E293B"/>
                <w:sz w:val="19"/>
              </w:rPr>
              <w:t>ACCESO AL SISTEMA:</w:t>
            </w:r>
          </w:p>
        </w:tc>
        <w:tc>
          <w:tcPr>
            <w:tcW w:type="dxa" w:w="4680"/>
          </w:tcPr>
          <w:p>
            <w:pPr>
              <w:spacing w:after="20"/>
              <w:jc w:val="left"/>
            </w:pPr>
            <w:r>
              <w:rPr>
                <w:rFonts w:ascii="Arial Narrow" w:hAnsi="Arial Narrow"/>
                <w:color w:val="333333"/>
                <w:sz w:val="19"/>
              </w:rPr>
              <w:t>https://marcavip-eng.github.io/gestion-controversias-g2g/ (Acceso Web y Celular)</w:t>
            </w:r>
          </w:p>
        </w:tc>
      </w:tr>
      <w:tr>
        <w:tc>
          <w:tcPr>
            <w:tcW w:type="dxa" w:w="4680"/>
            <w:shd w:fill="F1F5F9"/>
          </w:tcPr>
          <w:p>
            <w:pPr>
              <w:spacing w:after="20"/>
              <w:jc w:val="left"/>
            </w:pPr>
            <w:r>
              <w:rPr>
                <w:rFonts w:ascii="Arial Narrow" w:hAnsi="Arial Narrow"/>
                <w:b/>
                <w:color w:val="1E293B"/>
                <w:sz w:val="19"/>
              </w:rPr>
              <w:t>VERSIÓN DE LA APP:</w:t>
            </w:r>
          </w:p>
        </w:tc>
        <w:tc>
          <w:tcPr>
            <w:tcW w:type="dxa" w:w="4680"/>
          </w:tcPr>
          <w:p>
            <w:pPr>
              <w:spacing w:after="20"/>
              <w:jc w:val="left"/>
            </w:pPr>
            <w:r>
              <w:rPr>
                <w:rFonts w:ascii="Arial Narrow" w:hAnsi="Arial Narrow"/>
                <w:color w:val="333333"/>
                <w:sz w:val="19"/>
              </w:rPr>
              <w:t>Versión 2.0 (Módulos Especializados, Validación Legal y Sincronización en Nube)</w:t>
            </w:r>
          </w:p>
        </w:tc>
      </w:tr>
    </w:tbl>
    <w:p>
      <w:pPr>
        <w:keepNext/>
        <w:spacing w:before="200" w:after="50"/>
        <w:jc w:val="left"/>
      </w:pPr>
      <w:r>
        <w:rPr>
          <w:rFonts w:ascii="Arial Narrow" w:hAnsi="Arial Narrow"/>
          <w:b/>
          <w:color w:val="003087"/>
          <w:sz w:val="26"/>
        </w:rPr>
        <w:t>1. INTRODUCCIÓN Y FORMA DE INGRESO</w:t>
      </w:r>
    </w:p>
    <w:p>
      <w:pPr>
        <w:spacing w:line="276" w:lineRule="auto" w:after="70"/>
        <w:jc w:val="both"/>
      </w:pPr>
      <w:r>
        <w:rPr>
          <w:rFonts w:ascii="Arial Narrow" w:hAnsi="Arial Narrow"/>
          <w:color w:val="333333"/>
          <w:sz w:val="22"/>
        </w:rPr>
        <w:t>Esta aplicación web fue creada para solucionar de forma definitiva el desorden del archivo Excel original de controversias (que tenía códigos duplicados, fórmulas de dinero que mezclaban monedas y una sola sábana de datos que confundía tanto a ingenieros como a abogados). La herramienta funciona de manera autónoma en cualquier computadora, laptop, tablet o teléfono celular con solo abrir el enlace en Google Chrome o Microsoft Edge.</w:t>
      </w:r>
    </w:p>
    <w:p>
      <w:pPr>
        <w:spacing w:line="276" w:lineRule="auto" w:after="70"/>
        <w:jc w:val="both"/>
      </w:pPr>
      <w:r>
        <w:rPr>
          <w:rFonts w:ascii="Arial Narrow" w:hAnsi="Arial Narrow"/>
          <w:color w:val="333333"/>
          <w:sz w:val="22"/>
        </w:rPr>
        <w:t>Para ingresar, no se necesita instalar ningún programa en la computadora ni descargar archivos pesados. Solo debe abrir su navegador y acceder al enlace oficial. Todos los datos se sincronizan con la base central institucional mediante una conexión segura que protege la información ante cortes de internet.</w:t>
      </w:r>
    </w:p>
    <w:p>
      <w:pPr>
        <w:keepNext/>
        <w:spacing w:before="200" w:after="50"/>
        <w:jc w:val="left"/>
      </w:pPr>
      <w:r>
        <w:rPr>
          <w:rFonts w:ascii="Arial Narrow" w:hAnsi="Arial Narrow"/>
          <w:b/>
          <w:color w:val="003087"/>
          <w:sz w:val="26"/>
        </w:rPr>
        <w:t>2. GUÍA RÁPIDA PARA EL ABOGADO (MÓDULO LEGAL)</w:t>
      </w:r>
    </w:p>
    <w:p>
      <w:pPr>
        <w:spacing w:line="276" w:lineRule="auto" w:after="70"/>
        <w:jc w:val="both"/>
      </w:pPr>
      <w:r>
        <w:rPr>
          <w:rFonts w:ascii="Arial Narrow" w:hAnsi="Arial Narrow"/>
          <w:color w:val="333333"/>
          <w:sz w:val="22"/>
        </w:rPr>
        <w:t>El módulo del abogado fue pensado especialmente para su comodidad: se han eliminado todas las fórmulas complejas de ingeniería, los códigos de cronograma (WBS) y las casillas de presupuesto que antes entorpecían su trabajo en el Excel. Ahora el abogado cuenta con una pantalla limpia y enfocada exclusivamente en el sustento contractual.</w:t>
      </w:r>
    </w:p>
    <w:p>
      <w:pPr>
        <w:keepNext/>
        <w:spacing w:before="140" w:after="50"/>
        <w:jc w:val="left"/>
      </w:pPr>
      <w:r>
        <w:rPr>
          <w:rFonts w:ascii="Arial Narrow" w:hAnsi="Arial Narrow"/>
          <w:b/>
          <w:color w:val="003087"/>
          <w:sz w:val="22"/>
        </w:rPr>
        <w:t>Paso 1: ¿Cómo ingresar al Modo Abogado?</w:t>
      </w:r>
    </w:p>
    <w:p>
      <w:pPr>
        <w:spacing w:line="276" w:lineRule="auto" w:after="70"/>
        <w:jc w:val="both"/>
      </w:pPr>
      <w:r>
        <w:rPr>
          <w:rFonts w:ascii="Arial Narrow" w:hAnsi="Arial Narrow"/>
          <w:color w:val="333333"/>
          <w:sz w:val="22"/>
        </w:rPr>
        <w:t>En la pantalla principal, puede presionar el botón '⚖️ Módulo Legal (Abogado)' ubicado en la barra superior de la tabla, o hacer clic directamente en el botón ámbar '⚖️ Abogado' que aparece al pie de cada tarjeta de caso. Al hacerlo, el formulario se configura automáticamente en modo legal.</w:t>
      </w:r>
    </w:p>
    <w:p>
      <w:pPr>
        <w:keepNext/>
        <w:spacing w:before="140" w:after="50"/>
        <w:jc w:val="left"/>
      </w:pPr>
      <w:r>
        <w:rPr>
          <w:rFonts w:ascii="Arial Narrow" w:hAnsi="Arial Narrow"/>
          <w:b/>
          <w:color w:val="003087"/>
          <w:sz w:val="22"/>
        </w:rPr>
        <w:t>Paso 2: ¿Qué datos debe llenar?</w:t>
      </w:r>
    </w:p>
    <w:p>
      <w:pPr>
        <w:spacing w:line="276" w:lineRule="auto" w:after="70"/>
        <w:jc w:val="both"/>
      </w:pPr>
      <w:r>
        <w:rPr>
          <w:rFonts w:ascii="Arial Narrow" w:hAnsi="Arial Narrow"/>
          <w:color w:val="333333"/>
          <w:sz w:val="22"/>
        </w:rPr>
        <w:t>El abogado solo interactúa con los 13 datos oficiales de su expediente, organizados en dos pestañas claras sin ruido técnico:</w:t>
      </w:r>
    </w:p>
    <w:p>
      <w:pPr>
        <w:spacing w:line="276" w:lineRule="auto" w:after="70"/>
        <w:jc w:val="both"/>
      </w:pPr>
      <w:r>
        <w:rPr>
          <w:rFonts w:ascii="Arial Narrow" w:hAnsi="Arial Narrow"/>
          <w:b/>
          <w:color w:val="222222"/>
          <w:sz w:val="22"/>
        </w:rPr>
        <w:t xml:space="preserve">• Pestaña 1 (Identificación y Asunto Legal): </w:t>
      </w:r>
      <w:r>
        <w:rPr>
          <w:rFonts w:ascii="Arial Narrow" w:hAnsi="Arial Narrow"/>
          <w:color w:val="333333"/>
          <w:sz w:val="22"/>
        </w:rPr>
        <w:t>Proyecto, Tipo de atención (Trato directo, CE, DAB, Arbitraje), Régimen contractual, Asunto resumido, Categoría del problema y Número de Expediente SISGEDO.</w:t>
      </w:r>
    </w:p>
    <w:p>
      <w:pPr>
        <w:spacing w:line="276" w:lineRule="auto" w:after="70"/>
        <w:jc w:val="both"/>
      </w:pPr>
      <w:r>
        <w:rPr>
          <w:rFonts w:ascii="Arial Narrow" w:hAnsi="Arial Narrow"/>
          <w:b/>
          <w:color w:val="222222"/>
          <w:sz w:val="22"/>
        </w:rPr>
        <w:t xml:space="preserve">• Pestaña 2 (Trámite y Plazos Procesales): </w:t>
      </w:r>
      <w:r>
        <w:rPr>
          <w:rFonts w:ascii="Arial Narrow" w:hAnsi="Arial Narrow"/>
          <w:color w:val="333333"/>
          <w:sz w:val="22"/>
        </w:rPr>
        <w:t>Posición y Conclusión preliminar de Provías, Documentos de sustento, Instancia actual, Responsable legal, Estado procesal, Fecha límite y Próxima acción requerida.</w:t>
      </w:r>
    </w:p>
    <w:p>
      <w:pPr>
        <w:keepNext/>
        <w:spacing w:before="140" w:after="50"/>
        <w:jc w:val="left"/>
      </w:pPr>
      <w:r>
        <w:rPr>
          <w:rFonts w:ascii="Arial Narrow" w:hAnsi="Arial Narrow"/>
          <w:b/>
          <w:color w:val="003087"/>
          <w:sz w:val="22"/>
        </w:rPr>
        <w:t>Paso 3: ¿Cómo guardar el caso?</w:t>
      </w:r>
    </w:p>
    <w:p>
      <w:pPr>
        <w:spacing w:line="276" w:lineRule="auto" w:after="70"/>
        <w:jc w:val="both"/>
      </w:pPr>
      <w:r>
        <w:rPr>
          <w:rFonts w:ascii="Arial Narrow" w:hAnsi="Arial Narrow"/>
          <w:color w:val="333333"/>
          <w:sz w:val="22"/>
        </w:rPr>
        <w:t>En el pie del formulario encontrará siempre visible el botón verde '💾 Guardar Expediente Legal'. Puede hacer clic en él en cualquier momento desde el Paso 1 o Paso 2. El sistema guarda de inmediato sin pedirle datos de costos ni bloquear la pantalla.</w:t>
      </w:r>
    </w:p>
    <w:p>
      <w:pPr>
        <w:keepNext/>
        <w:spacing w:before="140" w:after="50"/>
        <w:jc w:val="left"/>
      </w:pPr>
      <w:r>
        <w:rPr>
          <w:rFonts w:ascii="Arial Narrow" w:hAnsi="Arial Narrow"/>
          <w:b/>
          <w:color w:val="003087"/>
          <w:sz w:val="22"/>
        </w:rPr>
        <w:t>Paso 4: ¿Cómo valida y certifica la información el Abogado?</w:t>
      </w:r>
    </w:p>
    <w:p>
      <w:pPr>
        <w:spacing w:line="276" w:lineRule="auto" w:after="70"/>
        <w:jc w:val="both"/>
      </w:pPr>
      <w:r>
        <w:rPr>
          <w:rFonts w:ascii="Arial Narrow" w:hAnsi="Arial Narrow"/>
          <w:color w:val="333333"/>
          <w:sz w:val="22"/>
        </w:rPr>
        <w:t>Para asegurar ante la Jefatura que la información está vigente y auditada, el abogado cuenta con dos modalidades de validación legal:</w:t>
      </w:r>
    </w:p>
    <w:p>
      <w:pPr>
        <w:spacing w:line="276" w:lineRule="auto" w:after="70"/>
        <w:jc w:val="both"/>
      </w:pPr>
      <w:r>
        <w:rPr>
          <w:rFonts w:ascii="Arial Narrow" w:hAnsi="Arial Narrow"/>
          <w:b/>
          <w:color w:val="222222"/>
          <w:sz w:val="22"/>
        </w:rPr>
        <w:t xml:space="preserve">a) Validación mediante Actualización Procesal: </w:t>
      </w:r>
      <w:r>
        <w:rPr>
          <w:rFonts w:ascii="Arial Narrow" w:hAnsi="Arial Narrow"/>
          <w:color w:val="333333"/>
          <w:sz w:val="22"/>
        </w:rPr>
        <w:t>Cuando un expediente ha tenido avances procesales (por ejemplo, ingreso de un nuevo escrito, emisión de informe o cambio de fecha de audiencia), el abogado ingresa al 'Módulo Legal', actualiza los campos respectivos y pulsa 'Guardar Expediente Legal'. La fecha de validación legal se actualiza automáticamente con su usuario y la fecha del día.</w:t>
      </w:r>
    </w:p>
    <w:p>
      <w:pPr>
        <w:spacing w:line="276" w:lineRule="auto" w:after="70"/>
        <w:jc w:val="both"/>
      </w:pPr>
      <w:r>
        <w:rPr>
          <w:rFonts w:ascii="Arial Narrow" w:hAnsi="Arial Narrow"/>
          <w:b/>
          <w:color w:val="222222"/>
          <w:sz w:val="22"/>
        </w:rPr>
        <w:t xml:space="preserve">b) Validación Periódica Rápida (Certificación Sin Cambios): </w:t>
      </w:r>
      <w:r>
        <w:rPr>
          <w:rFonts w:ascii="Arial Narrow" w:hAnsi="Arial Narrow"/>
          <w:color w:val="333333"/>
          <w:sz w:val="22"/>
        </w:rPr>
        <w:t>Si el caso fue revisado pero no amerita cambios en la semana (el expediente sigue a la espera de pronunciamiento judicial o arbitral), el abogado no necesita reescribir nada. Simplemente pulsa el botón con icono de escudo '🛡️ Validar' disponible en la tarjeta o tabla. Se abrirá una ventana de certificación donde el abogado confirma su nombre, su dirección (OAJ o DGP) y pulsa 'Certificar Validación'. Esto reinicia el semáforo legal a color verde por 14 días sin alterar los antecedentes.</w:t>
      </w:r>
    </w:p>
    <w:p>
      <w:pPr>
        <w:keepNext/>
        <w:spacing w:before="140" w:after="50"/>
        <w:jc w:val="left"/>
      </w:pPr>
      <w:r>
        <w:rPr>
          <w:rFonts w:ascii="Arial Narrow" w:hAnsi="Arial Narrow"/>
          <w:b/>
          <w:color w:val="003087"/>
          <w:sz w:val="22"/>
        </w:rPr>
        <w:t>Paso 5: ¿Cómo dar un 'Pase' o derivar el caso a otras instancias?</w:t>
      </w:r>
    </w:p>
    <w:p>
      <w:pPr>
        <w:spacing w:line="276" w:lineRule="auto" w:after="70"/>
        <w:jc w:val="both"/>
      </w:pPr>
      <w:r>
        <w:rPr>
          <w:rFonts w:ascii="Arial Narrow" w:hAnsi="Arial Narrow"/>
          <w:color w:val="333333"/>
          <w:sz w:val="22"/>
        </w:rPr>
        <w:t>Cuando el trámite de una controversia exige la intervención de otra dependencia interna o externa, el sistema permite registrar la derivación con trazabilidad estricta:</w:t>
      </w:r>
    </w:p>
    <w:p>
      <w:pPr>
        <w:spacing w:line="276" w:lineRule="auto" w:after="70"/>
        <w:jc w:val="both"/>
      </w:pPr>
      <w:r>
        <w:rPr>
          <w:rFonts w:ascii="Arial Narrow" w:hAnsi="Arial Narrow"/>
          <w:b/>
          <w:color w:val="222222"/>
          <w:sz w:val="22"/>
        </w:rPr>
        <w:t xml:space="preserve">• Derivación Formal por Pase: </w:t>
      </w:r>
      <w:r>
        <w:rPr>
          <w:rFonts w:ascii="Arial Narrow" w:hAnsi="Arial Narrow"/>
          <w:color w:val="333333"/>
          <w:sz w:val="22"/>
        </w:rPr>
        <w:t>Haga clic en el botón 'Pase' ubicado en la tarjeta del expediente o en la tabla. En la ventana emergente, seleccione la instancia de destino (por ejemplo: OAJ, OPP, Procuraduría Pública, PMO Vías o Contratista), digite el número de memorando u oficio de traslado y fije la fecha límite para la respuesta. Al pulsar 'Confirmar Pase', el caso cambiará automáticamente de responsable y quedará registrado el historial de envío con fecha, hora y documento.</w:t>
      </w:r>
    </w:p>
    <w:p>
      <w:pPr>
        <w:spacing w:line="276" w:lineRule="auto" w:after="70"/>
        <w:jc w:val="both"/>
      </w:pPr>
      <w:r>
        <w:rPr>
          <w:rFonts w:ascii="Arial Narrow" w:hAnsi="Arial Narrow"/>
          <w:b/>
          <w:color w:val="222222"/>
          <w:sz w:val="22"/>
        </w:rPr>
        <w:t xml:space="preserve">• Ficha Ejecutiva de 1 Página para Directores: </w:t>
      </w:r>
      <w:r>
        <w:rPr>
          <w:rFonts w:ascii="Arial Narrow" w:hAnsi="Arial Narrow"/>
          <w:color w:val="333333"/>
          <w:sz w:val="22"/>
        </w:rPr>
        <w:t>Si la Jefatura, el Director Ejecutivo o la Procuraduría solicitan un informe puntual de un caso para una sesión de directorio, pulse el botón '📄 Ficha' en el caso. El sistema genera una Ficha Ejecutiva de 1 sola página lista para imprimir o guardar en PDF, con el resumen del litigio, el análisis de ruta crítica, la contingencia económica y el estado procesal.</w:t>
      </w:r>
    </w:p>
    <w:p>
      <w:pPr>
        <w:keepNext/>
        <w:spacing w:before="200" w:after="50"/>
        <w:jc w:val="left"/>
      </w:pPr>
      <w:r>
        <w:rPr>
          <w:rFonts w:ascii="Arial Narrow" w:hAnsi="Arial Narrow"/>
          <w:b/>
          <w:color w:val="003087"/>
          <w:sz w:val="26"/>
        </w:rPr>
        <w:t>3. GUÍA RÁPIDA PARA EL INGENIERO (MÓDULO TÉCNICO Y COSTOS)</w:t>
      </w:r>
    </w:p>
    <w:p>
      <w:pPr>
        <w:spacing w:line="276" w:lineRule="auto" w:after="70"/>
        <w:jc w:val="both"/>
      </w:pPr>
      <w:r>
        <w:rPr>
          <w:rFonts w:ascii="Arial Narrow" w:hAnsi="Arial Narrow"/>
          <w:color w:val="333333"/>
          <w:sz w:val="22"/>
        </w:rPr>
        <w:t>El módulo del ingeniero está enfocado en lo que realmente importa para la gestión técnica de obra: el cronograma físico (demoras de obra) y la evaluación cuantitativa de costos (quantum) para no pagar de más al contratista.</w:t>
      </w:r>
    </w:p>
    <w:p>
      <w:pPr>
        <w:keepNext/>
        <w:spacing w:before="140" w:after="50"/>
        <w:jc w:val="left"/>
      </w:pPr>
      <w:r>
        <w:rPr>
          <w:rFonts w:ascii="Arial Narrow" w:hAnsi="Arial Narrow"/>
          <w:b/>
          <w:color w:val="003087"/>
          <w:sz w:val="22"/>
        </w:rPr>
        <w:t>Paso 1: ¿Cómo ingresar al Modo Ingeniero?</w:t>
      </w:r>
    </w:p>
    <w:p>
      <w:pPr>
        <w:spacing w:line="276" w:lineRule="auto" w:after="70"/>
        <w:jc w:val="both"/>
      </w:pPr>
      <w:r>
        <w:rPr>
          <w:rFonts w:ascii="Arial Narrow" w:hAnsi="Arial Narrow"/>
          <w:color w:val="333333"/>
          <w:sz w:val="22"/>
        </w:rPr>
        <w:t>Haga clic en el botón '👷 Módulo Técnico (Ingeniero)' en la barra superior o en el botón azul '👷 Ingeniero' en cualquiera de las tarjetas de casos. El formulario abrirá directamente las pestañas técnicas y económicas.</w:t>
      </w:r>
    </w:p>
    <w:p>
      <w:pPr>
        <w:keepNext/>
        <w:spacing w:before="140" w:after="50"/>
        <w:jc w:val="left"/>
      </w:pPr>
      <w:r>
        <w:rPr>
          <w:rFonts w:ascii="Arial Narrow" w:hAnsi="Arial Narrow"/>
          <w:b/>
          <w:color w:val="003087"/>
          <w:sz w:val="22"/>
        </w:rPr>
        <w:t>Paso 2: ¿Qué datos de obra debe llenar?</w:t>
      </w:r>
    </w:p>
    <w:p>
      <w:pPr>
        <w:spacing w:line="276" w:lineRule="auto" w:after="70"/>
        <w:jc w:val="both"/>
      </w:pPr>
      <w:r>
        <w:rPr>
          <w:rFonts w:ascii="Arial Narrow" w:hAnsi="Arial Narrow"/>
          <w:color w:val="333333"/>
          <w:sz w:val="22"/>
        </w:rPr>
        <w:t>En la Pestaña 3 ('WBS, Cronograma y Mitigación'), el ingeniero registra los parámetros críticos de la obra:</w:t>
      </w:r>
    </w:p>
    <w:p>
      <w:pPr>
        <w:spacing w:line="276" w:lineRule="auto" w:after="70"/>
        <w:jc w:val="both"/>
      </w:pPr>
      <w:r>
        <w:rPr>
          <w:rFonts w:ascii="Arial Narrow" w:hAnsi="Arial Narrow"/>
          <w:b/>
          <w:color w:val="222222"/>
          <w:sz w:val="22"/>
        </w:rPr>
        <w:t xml:space="preserve">• Código WBS y Actividad Afectada: </w:t>
      </w:r>
      <w:r>
        <w:rPr>
          <w:rFonts w:ascii="Arial Narrow" w:hAnsi="Arial Narrow"/>
          <w:color w:val="333333"/>
          <w:sz w:val="22"/>
        </w:rPr>
        <w:t>Asignar la actividad contractual del cronograma que sufre la perturbación.</w:t>
      </w:r>
    </w:p>
    <w:p>
      <w:pPr>
        <w:spacing w:line="276" w:lineRule="auto" w:after="70"/>
        <w:jc w:val="both"/>
      </w:pPr>
      <w:r>
        <w:rPr>
          <w:rFonts w:ascii="Arial Narrow" w:hAnsi="Arial Narrow"/>
          <w:b/>
          <w:color w:val="222222"/>
          <w:sz w:val="22"/>
        </w:rPr>
        <w:t xml:space="preserve">• ¿Afecta Ruta Crítica?: </w:t>
      </w:r>
      <w:r>
        <w:rPr>
          <w:rFonts w:ascii="Arial Narrow" w:hAnsi="Arial Narrow"/>
          <w:color w:val="333333"/>
          <w:sz w:val="22"/>
        </w:rPr>
        <w:t>Seleccionar 'Sí' si la demora consume la holgura total y empuja la fecha de entrega final, o 'No' si cuenta con holgura positiva.</w:t>
      </w:r>
    </w:p>
    <w:p>
      <w:pPr>
        <w:spacing w:line="276" w:lineRule="auto" w:after="70"/>
        <w:jc w:val="both"/>
      </w:pPr>
      <w:r>
        <w:rPr>
          <w:rFonts w:ascii="Arial Narrow" w:hAnsi="Arial Narrow"/>
          <w:b/>
          <w:color w:val="222222"/>
          <w:sz w:val="22"/>
        </w:rPr>
        <w:t xml:space="preserve">• Holgura y Afectación en Días: </w:t>
      </w:r>
      <w:r>
        <w:rPr>
          <w:rFonts w:ascii="Arial Narrow" w:hAnsi="Arial Narrow"/>
          <w:color w:val="333333"/>
          <w:sz w:val="22"/>
        </w:rPr>
        <w:t>Cuantificar los días de atraso estimados para la defensa técnica de la Entidad.</w:t>
      </w:r>
    </w:p>
    <w:p>
      <w:pPr>
        <w:spacing w:line="276" w:lineRule="auto" w:after="70"/>
        <w:jc w:val="both"/>
      </w:pPr>
      <w:r>
        <w:rPr>
          <w:rFonts w:ascii="Arial Narrow" w:hAnsi="Arial Narrow"/>
          <w:b/>
          <w:color w:val="222222"/>
          <w:sz w:val="22"/>
        </w:rPr>
        <w:t xml:space="preserve">• Medida de Mitigación Técnica: </w:t>
      </w:r>
      <w:r>
        <w:rPr>
          <w:rFonts w:ascii="Arial Narrow" w:hAnsi="Arial Narrow"/>
          <w:color w:val="333333"/>
          <w:sz w:val="22"/>
        </w:rPr>
        <w:t>Detallar el plan de contingencia (aceleración, reprogramación, turnos adicionales) para recuperar el atraso.</w:t>
      </w:r>
    </w:p>
    <w:p>
      <w:pPr>
        <w:keepNext/>
        <w:spacing w:before="140" w:after="50"/>
        <w:jc w:val="left"/>
      </w:pPr>
      <w:r>
        <w:rPr>
          <w:rFonts w:ascii="Arial Narrow" w:hAnsi="Arial Narrow"/>
          <w:b/>
          <w:color w:val="003087"/>
          <w:sz w:val="22"/>
        </w:rPr>
        <w:t>Paso 3: ¿Cómo evaluar los Costos y Cuantías?</w:t>
      </w:r>
    </w:p>
    <w:p>
      <w:pPr>
        <w:spacing w:line="276" w:lineRule="auto" w:after="70"/>
        <w:jc w:val="both"/>
      </w:pPr>
      <w:r>
        <w:rPr>
          <w:rFonts w:ascii="Arial Narrow" w:hAnsi="Arial Narrow"/>
          <w:color w:val="333333"/>
          <w:sz w:val="22"/>
        </w:rPr>
        <w:t>En la Pestaña 4 ('Cuantía y Presupuesto OPP'), el ingeniero analiza los importes económicos:</w:t>
      </w:r>
    </w:p>
    <w:p>
      <w:pPr>
        <w:spacing w:line="276" w:lineRule="auto" w:after="70"/>
        <w:jc w:val="both"/>
      </w:pPr>
      <w:r>
        <w:rPr>
          <w:rFonts w:ascii="Arial Narrow" w:hAnsi="Arial Narrow"/>
          <w:b/>
          <w:color w:val="222222"/>
          <w:sz w:val="22"/>
        </w:rPr>
        <w:t xml:space="preserve">• Moneda y Monto Reclamado (Pretensión): </w:t>
      </w:r>
      <w:r>
        <w:rPr>
          <w:rFonts w:ascii="Arial Narrow" w:hAnsi="Arial Narrow"/>
          <w:color w:val="333333"/>
          <w:sz w:val="22"/>
        </w:rPr>
        <w:t>Indicar la moneda pactada (PEN, EUR o USD) y el monto bruto exigido por el contratista en su reclamo.</w:t>
      </w:r>
    </w:p>
    <w:p>
      <w:pPr>
        <w:spacing w:line="276" w:lineRule="auto" w:after="70"/>
        <w:jc w:val="both"/>
      </w:pPr>
      <w:r>
        <w:rPr>
          <w:rFonts w:ascii="Arial Narrow" w:hAnsi="Arial Narrow"/>
          <w:b/>
          <w:color w:val="222222"/>
          <w:sz w:val="22"/>
        </w:rPr>
        <w:t xml:space="preserve">• Escenario Probable (Punto Focal): </w:t>
      </w:r>
      <w:r>
        <w:rPr>
          <w:rFonts w:ascii="Arial Narrow" w:hAnsi="Arial Narrow"/>
          <w:color w:val="333333"/>
          <w:sz w:val="22"/>
        </w:rPr>
        <w:t>La estimación técnica real y objetiva de cuánto le corresponde a la Entidad asumir según los costos directos e indirectos comprobados con facturas.</w:t>
      </w:r>
    </w:p>
    <w:p>
      <w:pPr>
        <w:spacing w:line="276" w:lineRule="auto" w:after="70"/>
        <w:jc w:val="both"/>
      </w:pPr>
      <w:r>
        <w:rPr>
          <w:rFonts w:ascii="Arial Narrow" w:hAnsi="Arial Narrow"/>
          <w:b/>
          <w:color w:val="222222"/>
          <w:sz w:val="22"/>
        </w:rPr>
        <w:t xml:space="preserve">• Cobertura y Brecha OPP: </w:t>
      </w:r>
      <w:r>
        <w:rPr>
          <w:rFonts w:ascii="Arial Narrow" w:hAnsi="Arial Narrow"/>
          <w:color w:val="333333"/>
          <w:sz w:val="22"/>
        </w:rPr>
        <w:t>Consultar el saldo presupuestal en el proyecto para que la aplicación calcule automáticamente el déficit financiero que OPP debe fondear.</w:t>
      </w:r>
    </w:p>
    <w:p>
      <w:pPr>
        <w:keepNext/>
        <w:spacing w:before="140" w:after="50"/>
        <w:jc w:val="left"/>
      </w:pPr>
      <w:r>
        <w:rPr>
          <w:rFonts w:ascii="Arial Narrow" w:hAnsi="Arial Narrow"/>
          <w:b/>
          <w:color w:val="003087"/>
          <w:sz w:val="22"/>
        </w:rPr>
        <w:t>Paso 4: Guardado Flexible sin Trabas</w:t>
      </w:r>
    </w:p>
    <w:p>
      <w:pPr>
        <w:spacing w:line="276" w:lineRule="auto" w:after="70"/>
        <w:jc w:val="both"/>
      </w:pPr>
      <w:r>
        <w:rPr>
          <w:rFonts w:ascii="Arial Narrow" w:hAnsi="Arial Narrow"/>
          <w:color w:val="333333"/>
          <w:sz w:val="22"/>
        </w:rPr>
        <w:t>El ingeniero puede guardar el avance técnico en cualquier momento usando el botón '💾 Guardar Avance Técnico'. Si el análisis de costos aún no está terminado, puede dejar los escenarios en cero y completarlos después sin ningún problema. La aplicación mostrará una discreta etiqueta '⚠️ Cuantía OPP' advirtiendo que el monto está en proceso.</w:t>
      </w:r>
    </w:p>
    <w:p>
      <w:pPr>
        <w:keepNext/>
        <w:spacing w:before="200" w:after="50"/>
        <w:jc w:val="left"/>
      </w:pPr>
      <w:r>
        <w:rPr>
          <w:rFonts w:ascii="Arial Narrow" w:hAnsi="Arial Narrow"/>
          <w:b/>
          <w:color w:val="003087"/>
          <w:sz w:val="26"/>
        </w:rPr>
        <w:t>4. GUÍA RÁPIDA PARA EL JEFE Y LA ALTA DIRECCIÓN (MONITOREO EJECUTIVO)</w:t>
      </w:r>
    </w:p>
    <w:p>
      <w:pPr>
        <w:spacing w:line="276" w:lineRule="auto" w:after="70"/>
        <w:jc w:val="both"/>
      </w:pPr>
      <w:r>
        <w:rPr>
          <w:rFonts w:ascii="Arial Narrow" w:hAnsi="Arial Narrow"/>
          <w:color w:val="333333"/>
          <w:sz w:val="22"/>
        </w:rPr>
        <w:t>Para la Jefatura y la Dirección, el tiempo es valioso. La aplicación ofrece un Tablero Ejecutivo de control gerencial que responde en segundos las tres preguntas clave: ¿Cuánto dinero hay en riesgo? ¿Qué casos están por vencer? y ¿Dónde están los cuellos de botella?</w:t>
      </w:r>
    </w:p>
    <w:p>
      <w:pPr>
        <w:keepNext/>
        <w:spacing w:before="140" w:after="50"/>
        <w:jc w:val="left"/>
      </w:pPr>
      <w:r>
        <w:rPr>
          <w:rFonts w:ascii="Arial Narrow" w:hAnsi="Arial Narrow"/>
          <w:b/>
          <w:color w:val="1E293B"/>
          <w:sz w:val="24"/>
        </w:rPr>
        <w:t>A. Las 6 Tarjetas de Indicadores en Tiempo Real:</w:t>
      </w:r>
    </w:p>
    <w:p>
      <w:pPr>
        <w:spacing w:line="276" w:lineRule="auto" w:after="70"/>
        <w:jc w:val="both"/>
      </w:pPr>
      <w:r>
        <w:rPr>
          <w:rFonts w:ascii="Arial Narrow" w:hAnsi="Arial Narrow"/>
          <w:color w:val="333333"/>
          <w:sz w:val="22"/>
        </w:rPr>
        <w:t>En la parte superior de la pantalla, la Jefatura tiene 6 tarjetas interactivas que se recalculan solas en tiempo real:</w:t>
      </w:r>
    </w:p>
    <w:p>
      <w:pPr>
        <w:spacing w:line="276" w:lineRule="auto" w:after="70"/>
        <w:jc w:val="both"/>
      </w:pPr>
      <w:r>
        <w:rPr>
          <w:rFonts w:ascii="Arial Narrow" w:hAnsi="Arial Narrow"/>
          <w:b/>
          <w:color w:val="222222"/>
          <w:sz w:val="22"/>
        </w:rPr>
        <w:t xml:space="preserve">1. Casos Abiertos: </w:t>
      </w:r>
      <w:r>
        <w:rPr>
          <w:rFonts w:ascii="Arial Narrow" w:hAnsi="Arial Narrow"/>
          <w:color w:val="333333"/>
          <w:sz w:val="22"/>
        </w:rPr>
        <w:t>Cantidad total de expedientes activos en la cartera bajo seguimiento.</w:t>
      </w:r>
    </w:p>
    <w:p>
      <w:pPr>
        <w:spacing w:line="276" w:lineRule="auto" w:after="70"/>
        <w:jc w:val="both"/>
      </w:pPr>
      <w:r>
        <w:rPr>
          <w:rFonts w:ascii="Arial Narrow" w:hAnsi="Arial Narrow"/>
          <w:b/>
          <w:color w:val="222222"/>
          <w:sz w:val="22"/>
        </w:rPr>
        <w:t xml:space="preserve">2. P1 - Críticos: </w:t>
      </w:r>
      <w:r>
        <w:rPr>
          <w:rFonts w:ascii="Arial Narrow" w:hAnsi="Arial Narrow"/>
          <w:color w:val="333333"/>
          <w:sz w:val="22"/>
        </w:rPr>
        <w:t>Casos que exigen atención prioritaria inmediata por su impacto contractual.</w:t>
      </w:r>
    </w:p>
    <w:p>
      <w:pPr>
        <w:spacing w:line="276" w:lineRule="auto" w:after="70"/>
        <w:jc w:val="both"/>
      </w:pPr>
      <w:r>
        <w:rPr>
          <w:rFonts w:ascii="Arial Narrow" w:hAnsi="Arial Narrow"/>
          <w:b/>
          <w:color w:val="222222"/>
          <w:sz w:val="22"/>
        </w:rPr>
        <w:t xml:space="preserve">3. Vencidos / Por Vencer: </w:t>
      </w:r>
      <w:r>
        <w:rPr>
          <w:rFonts w:ascii="Arial Narrow" w:hAnsi="Arial Narrow"/>
          <w:color w:val="333333"/>
          <w:sz w:val="22"/>
        </w:rPr>
        <w:t>Casos cuyo plazo contractual ya expiró o vence en los próximos 7 días calendario.</w:t>
      </w:r>
    </w:p>
    <w:p>
      <w:pPr>
        <w:spacing w:line="276" w:lineRule="auto" w:after="70"/>
        <w:jc w:val="both"/>
      </w:pPr>
      <w:r>
        <w:rPr>
          <w:rFonts w:ascii="Arial Narrow" w:hAnsi="Arial Narrow"/>
          <w:b/>
          <w:color w:val="222222"/>
          <w:sz w:val="22"/>
        </w:rPr>
        <w:t xml:space="preserve">4. Ruta Crítica WBS: </w:t>
      </w:r>
      <w:r>
        <w:rPr>
          <w:rFonts w:ascii="Arial Narrow" w:hAnsi="Arial Narrow"/>
          <w:color w:val="333333"/>
          <w:sz w:val="22"/>
        </w:rPr>
        <w:t>Controversias que paralizan o demoran la fecha de entrega final de las obras públicas.</w:t>
      </w:r>
    </w:p>
    <w:p>
      <w:pPr>
        <w:spacing w:line="276" w:lineRule="auto" w:after="70"/>
        <w:jc w:val="both"/>
      </w:pPr>
      <w:r>
        <w:rPr>
          <w:rFonts w:ascii="Arial Narrow" w:hAnsi="Arial Narrow"/>
          <w:b/>
          <w:color w:val="222222"/>
          <w:sz w:val="22"/>
        </w:rPr>
        <w:t xml:space="preserve">5. Exposición Probable: </w:t>
      </w:r>
      <w:r>
        <w:rPr>
          <w:rFonts w:ascii="Arial Narrow" w:hAnsi="Arial Narrow"/>
          <w:color w:val="333333"/>
          <w:sz w:val="22"/>
        </w:rPr>
        <w:t>Monto total real en Soles (PEN) que el Estado estima que podría tener que asumir (actualmente S/ 59,416,438).</w:t>
      </w:r>
    </w:p>
    <w:p>
      <w:pPr>
        <w:spacing w:line="276" w:lineRule="auto" w:after="70"/>
        <w:jc w:val="both"/>
      </w:pPr>
      <w:r>
        <w:rPr>
          <w:rFonts w:ascii="Arial Narrow" w:hAnsi="Arial Narrow"/>
          <w:b/>
          <w:color w:val="222222"/>
          <w:sz w:val="22"/>
        </w:rPr>
        <w:t xml:space="preserve">6. Brecha Presupuestal: </w:t>
      </w:r>
      <w:r>
        <w:rPr>
          <w:rFonts w:ascii="Arial Narrow" w:hAnsi="Arial Narrow"/>
          <w:color w:val="333333"/>
          <w:sz w:val="22"/>
        </w:rPr>
        <w:t>Déficit de dinero que la oficina de planeamiento y presupuesto (OPP) debe certificar y fondear.</w:t>
      </w:r>
    </w:p>
    <w:p>
      <w:pPr>
        <w:keepNext/>
        <w:spacing w:before="140" w:after="50"/>
        <w:jc w:val="left"/>
      </w:pPr>
      <w:r>
        <w:rPr>
          <w:rFonts w:ascii="Arial Narrow" w:hAnsi="Arial Narrow"/>
          <w:b/>
          <w:color w:val="1E293B"/>
          <w:sz w:val="24"/>
        </w:rPr>
        <w:t>B. Conmutador de Vistas del Tablero Ejecutivo (Tablas vs Gráficos):</w:t>
      </w:r>
    </w:p>
    <w:p>
      <w:pPr>
        <w:spacing w:line="276" w:lineRule="auto" w:after="70"/>
        <w:jc w:val="both"/>
      </w:pPr>
      <w:r>
        <w:rPr>
          <w:rFonts w:ascii="Arial Narrow" w:hAnsi="Arial Narrow"/>
          <w:color w:val="333333"/>
          <w:sz w:val="22"/>
        </w:rPr>
        <w:t>Justo debajo de las tarjetas KPI, el Jefe tiene tres botones para elegir cómo desea ver la información consolidada según la reunión en la que se encuentre:</w:t>
      </w:r>
    </w:p>
    <w:p>
      <w:pPr>
        <w:spacing w:line="276" w:lineRule="auto" w:after="70"/>
        <w:jc w:val="both"/>
      </w:pPr>
      <w:r>
        <w:rPr>
          <w:rFonts w:ascii="Arial Narrow" w:hAnsi="Arial Narrow"/>
          <w:b/>
          <w:color w:val="222222"/>
          <w:sz w:val="22"/>
        </w:rPr>
        <w:t xml:space="preserve">• Botón '📋 Tablas Excel': </w:t>
      </w:r>
      <w:r>
        <w:rPr>
          <w:rFonts w:ascii="Arial Narrow" w:hAnsi="Arial Narrow"/>
          <w:color w:val="333333"/>
          <w:sz w:val="22"/>
        </w:rPr>
        <w:t>Despliega las dos tablas oficiales idénticas a las del Excel del Ingeniero (Resumen por Proyecto a la izquierda y Casos por Instancia a la derecha) con sumas exactas y totales al pie.</w:t>
      </w:r>
    </w:p>
    <w:p>
      <w:pPr>
        <w:spacing w:line="276" w:lineRule="auto" w:after="70"/>
        <w:jc w:val="both"/>
      </w:pPr>
      <w:r>
        <w:rPr>
          <w:rFonts w:ascii="Arial Narrow" w:hAnsi="Arial Narrow"/>
          <w:b/>
          <w:color w:val="222222"/>
          <w:sz w:val="22"/>
        </w:rPr>
        <w:t xml:space="preserve">• Botón '📊 Gráficos': </w:t>
      </w:r>
      <w:r>
        <w:rPr>
          <w:rFonts w:ascii="Arial Narrow" w:hAnsi="Arial Narrow"/>
          <w:color w:val="333333"/>
          <w:sz w:val="22"/>
        </w:rPr>
        <w:t>Despliega gráficos de barras visuales con colores por proyecto y alertas automáticas de 'Carga Alta' en dependencias saturadas.</w:t>
      </w:r>
    </w:p>
    <w:p>
      <w:pPr>
        <w:spacing w:line="276" w:lineRule="auto" w:after="70"/>
        <w:jc w:val="both"/>
      </w:pPr>
      <w:r>
        <w:rPr>
          <w:rFonts w:ascii="Arial Narrow" w:hAnsi="Arial Narrow"/>
          <w:b/>
          <w:color w:val="222222"/>
          <w:sz w:val="22"/>
        </w:rPr>
        <w:t xml:space="preserve">• Botón '🔀 Ver Ambos': </w:t>
      </w:r>
      <w:r>
        <w:rPr>
          <w:rFonts w:ascii="Arial Narrow" w:hAnsi="Arial Narrow"/>
          <w:color w:val="333333"/>
          <w:sz w:val="22"/>
        </w:rPr>
        <w:t>Muestra de forma combinada tanto las tablas analíticas del Excel como los gráficos visuales de barras.</w:t>
      </w:r>
    </w:p>
    <w:p>
      <w:pPr>
        <w:keepNext/>
        <w:spacing w:before="140" w:after="50"/>
        <w:jc w:val="left"/>
      </w:pPr>
      <w:r>
        <w:rPr>
          <w:rFonts w:ascii="Arial Narrow" w:hAnsi="Arial Narrow"/>
          <w:b/>
          <w:color w:val="1E293B"/>
          <w:sz w:val="24"/>
        </w:rPr>
        <w:t>C. Filtrado Rápido con 1 Solo Clic:</w:t>
      </w:r>
    </w:p>
    <w:p>
      <w:pPr>
        <w:spacing w:line="276" w:lineRule="auto" w:after="70"/>
        <w:jc w:val="both"/>
      </w:pPr>
      <w:r>
        <w:rPr>
          <w:rFonts w:ascii="Arial Narrow" w:hAnsi="Arial Narrow"/>
          <w:color w:val="333333"/>
          <w:sz w:val="22"/>
        </w:rPr>
        <w:t>El Jefe no necesita aplicar filtros complejos: al hacer clic sobre cualquier fila de la tabla ejecutiva (por ejemplo, tocar la fila 'NCC' o tocar la fila 'OAJ'), toda la lista de casos y tarjetas inferiores se filtra automáticamente mostrando únicamente los expedientes de ese proyecto o de esa oficina.</w:t>
      </w:r>
    </w:p>
    <w:p>
      <w:pPr>
        <w:keepNext/>
        <w:spacing w:before="140" w:after="50"/>
        <w:jc w:val="left"/>
      </w:pPr>
      <w:r>
        <w:rPr>
          <w:rFonts w:ascii="Arial Narrow" w:hAnsi="Arial Narrow"/>
          <w:b/>
          <w:color w:val="1E293B"/>
          <w:sz w:val="24"/>
        </w:rPr>
        <w:t>D. Exportación Oficial para Informes de Despacho (Excel de 50 Columnas):</w:t>
      </w:r>
    </w:p>
    <w:p>
      <w:pPr>
        <w:spacing w:line="276" w:lineRule="auto" w:after="70"/>
        <w:jc w:val="both"/>
      </w:pPr>
      <w:r>
        <w:rPr>
          <w:rFonts w:ascii="Arial Narrow" w:hAnsi="Arial Narrow"/>
          <w:color w:val="333333"/>
          <w:sz w:val="22"/>
        </w:rPr>
        <w:t>Si la Jefatura debe remitir la matriz integral a la Dirección Ejecutiva, al MTC o al Órgano de Control Institucional (OCI), basta con presionar el botón verde 'Exportar Excel' en la barra superior. La aplicación descarga inmediatamente el archivo XLSX con las 50 columnas oficiales completas, perfectamente formateadas y sin inconsistencias.</w:t>
      </w:r>
    </w:p>
    <w:p>
      <w:pPr>
        <w:keepNext/>
        <w:spacing w:before="200" w:after="50"/>
        <w:jc w:val="left"/>
      </w:pPr>
      <w:r>
        <w:rPr>
          <w:rFonts w:ascii="Arial Narrow" w:hAnsi="Arial Narrow"/>
          <w:b/>
          <w:color w:val="003087"/>
          <w:sz w:val="26"/>
        </w:rPr>
        <w:t>5. ¿CÓMO FUNCIONA LA APLICACIÓN POR DENTRO? (ARQUITECTURA GITHUB + GOOGLE SHEETS)</w:t>
      </w:r>
    </w:p>
    <w:p>
      <w:pPr>
        <w:spacing w:line="276" w:lineRule="auto" w:after="70"/>
        <w:jc w:val="both"/>
      </w:pPr>
      <w:r>
        <w:rPr>
          <w:rFonts w:ascii="Arial Narrow" w:hAnsi="Arial Narrow"/>
          <w:color w:val="333333"/>
          <w:sz w:val="22"/>
        </w:rPr>
        <w:t>Para garantizar transparencia y fácil mantenimiento por parte del equipo informático o de gestión, la solución se construyó sobre una arquitectura moderna, segura y de costo cero para el Estado peruano, combinando dos componentes clave:</w:t>
      </w:r>
    </w:p>
    <w:tbl>
      <w:tblPr>
        <w:tblW w:type="auto" w:w="0"/>
        <w:tblLayout w:type="fixed"/>
        <w:tblLook w:firstColumn="1" w:firstRow="1" w:lastColumn="0" w:lastRow="0" w:noHBand="0" w:noVBand="1" w:val="04A0"/>
      </w:tblPr>
      <w:tblGrid>
        <w:gridCol w:w="9360"/>
      </w:tblGrid>
      <w:tr>
        <w:tc>
          <w:tcPr>
            <w:tcW w:type="dxa" w:w="9360"/>
            <w:shd w:fill="F0F9FF"/>
            <w:tcBorders>
              <w:top w:val="none"/>
              <w:left w:val="single" w:sz="24" w:space="0" w:color="0284C7"/>
              <w:bottom w:val="none"/>
              <w:right w:val="none"/>
            </w:tcBorders>
          </w:tcPr>
          <w:p>
            <w:pPr>
              <w:spacing w:after="40"/>
              <w:jc w:val="left"/>
            </w:pPr>
            <w:r>
              <w:rPr>
                <w:rFonts w:ascii="Arial Narrow" w:hAnsi="Arial Narrow"/>
                <w:b/>
                <w:color w:val="0284C7"/>
                <w:sz w:val="22"/>
              </w:rPr>
              <w:t>FLUJO TECNOLÓGICO DE LA APLICACIÓN:</w:t>
            </w:r>
          </w:p>
          <w:p>
            <w:pPr>
              <w:spacing w:after="0" w:line="276" w:lineRule="auto"/>
              <w:jc w:val="both"/>
            </w:pPr>
            <w:r>
              <w:rPr>
                <w:rFonts w:ascii="Arial Narrow" w:hAnsi="Arial Narrow"/>
                <w:color w:val="333333"/>
                <w:sz w:val="21"/>
              </w:rPr>
              <w:t>1. Interfaz de Usuario (PC / Celular) ➔ Alojada en GITHUB PAGES (Código HTML5 / JS ligero y ultra rápido)</w:t>
              <w:br/>
              <w:t>2. Canal de Sincronización ➔ WEBHOOK seguro programado en GOOGLE APPS SCRIPT (Con PIN de protección '2026')</w:t>
              <w:br/>
              <w:t>3. Base de Datos Central ➔ Hoja de cálculo oficial en GOOGLE DRIVE (Google Sheets con respaldo histórico)</w:t>
            </w:r>
          </w:p>
        </w:tc>
      </w:tr>
    </w:tbl>
    <w:p>
      <w:pPr>
        <w:keepNext/>
        <w:spacing w:before="140" w:after="50"/>
        <w:jc w:val="left"/>
      </w:pPr>
      <w:r>
        <w:rPr>
          <w:rFonts w:ascii="Arial Narrow" w:hAnsi="Arial Narrow"/>
          <w:b/>
          <w:color w:val="1E293B"/>
          <w:sz w:val="24"/>
        </w:rPr>
        <w:t>A. ¿Qué hace GitHub y por qué se utiliza? (GitHub Pages):</w:t>
      </w:r>
    </w:p>
    <w:p>
      <w:pPr>
        <w:spacing w:line="276" w:lineRule="auto" w:after="70"/>
        <w:jc w:val="both"/>
      </w:pPr>
      <w:r>
        <w:rPr>
          <w:rFonts w:ascii="Arial Narrow" w:hAnsi="Arial Narrow"/>
          <w:color w:val="333333"/>
          <w:sz w:val="22"/>
        </w:rPr>
        <w:t>GitHub es el repositorio digital donde reside el código de la aplicación (los archivos que forman la página web). A través de su servicio 'GitHub Pages', la página se publica automáticamente en internet de manera gratuita, rápida y con certificado de seguridad (candado HTTPS). Esto significa que la aplicación no depende de computadoras locales que puedan apagarse, no consume espacio en los servidores internos de Provías y está disponible las 24 horas del día para cualquier funcionario autorizado.</w:t>
      </w:r>
    </w:p>
    <w:p>
      <w:pPr>
        <w:keepNext/>
        <w:spacing w:before="140" w:after="50"/>
        <w:jc w:val="left"/>
      </w:pPr>
      <w:r>
        <w:rPr>
          <w:rFonts w:ascii="Arial Narrow" w:hAnsi="Arial Narrow"/>
          <w:b/>
          <w:color w:val="1E293B"/>
          <w:sz w:val="24"/>
        </w:rPr>
        <w:t>B. ¿Qué hace Google Apps Script y el Webhook?:</w:t>
      </w:r>
    </w:p>
    <w:p>
      <w:pPr>
        <w:spacing w:line="276" w:lineRule="auto" w:after="70"/>
        <w:jc w:val="both"/>
      </w:pPr>
      <w:r>
        <w:rPr>
          <w:rFonts w:ascii="Arial Narrow" w:hAnsi="Arial Narrow"/>
          <w:color w:val="333333"/>
          <w:sz w:val="22"/>
        </w:rPr>
        <w:t>Google Apps Script es una plataforma de programación en la nube de Google. En ella se creó un pequeño programa seguro llamado 'Webhook'. Cuando el abogado o el ingeniero pulsa 'Guardar' o 'Validar' en la web, la aplicación envía un mensaje cifrado a través de internet con los datos del caso y un PIN de seguridad institucional ('2026'). El Webhook recibe el mensaje, comprueba que el PIN sea correcto y abre la hoja de cálculo de Google Sheets en la nube para actualizar de inmediato la fila correspondiente.</w:t>
      </w:r>
    </w:p>
    <w:p>
      <w:pPr>
        <w:keepNext/>
        <w:spacing w:before="140" w:after="50"/>
        <w:jc w:val="left"/>
      </w:pPr>
      <w:r>
        <w:rPr>
          <w:rFonts w:ascii="Arial Narrow" w:hAnsi="Arial Narrow"/>
          <w:b/>
          <w:color w:val="1E293B"/>
          <w:sz w:val="24"/>
        </w:rPr>
        <w:t>C. ¿Dónde se guarda la información oficial? (Google Sheets):</w:t>
      </w:r>
    </w:p>
    <w:p>
      <w:pPr>
        <w:spacing w:line="276" w:lineRule="auto" w:after="70"/>
        <w:jc w:val="both"/>
      </w:pPr>
      <w:r>
        <w:rPr>
          <w:rFonts w:ascii="Arial Narrow" w:hAnsi="Arial Narrow"/>
          <w:color w:val="333333"/>
          <w:sz w:val="22"/>
        </w:rPr>
        <w:t>La base de datos maestra no está escondida en un servidor inaccesible; reside en una hoja de Google Sheets en la nube de la Entidad. Esto permite que la Jefatura o el área de sistemas puedan abrir el Google Sheets en cualquier momento para extraer reportes, hacer copias de seguridad o vincular los datos con tableros de Power BI.</w:t>
      </w:r>
    </w:p>
    <w:p>
      <w:pPr>
        <w:keepNext/>
        <w:spacing w:before="140" w:after="50"/>
        <w:jc w:val="left"/>
      </w:pPr>
      <w:r>
        <w:rPr>
          <w:rFonts w:ascii="Arial Narrow" w:hAnsi="Arial Narrow"/>
          <w:b/>
          <w:color w:val="1E293B"/>
          <w:sz w:val="24"/>
        </w:rPr>
        <w:t>D. Seguridad ante Cortes de Internet (Modo Offline y Copia Local):</w:t>
      </w:r>
    </w:p>
    <w:p>
      <w:pPr>
        <w:spacing w:line="276" w:lineRule="auto" w:after="70"/>
        <w:jc w:val="both"/>
      </w:pPr>
      <w:r>
        <w:rPr>
          <w:rFonts w:ascii="Arial Narrow" w:hAnsi="Arial Narrow"/>
          <w:color w:val="333333"/>
          <w:sz w:val="22"/>
        </w:rPr>
        <w:t>Si un ingeniero o abogado se encuentra en una zona de obra sin señal o con internet inestable, la aplicación guarda automáticamente los cambios en la memoria interna de su propio navegador web (localStorage). Además, cuenta con un botón en la barra superior para descargar un archivo de copia de seguridad (.json) que puede guardarse en la computadora como respaldo de contingencia.</w:t>
      </w:r>
    </w:p>
    <w:p>
      <w:pPr>
        <w:keepNext/>
        <w:spacing w:before="200" w:after="50"/>
        <w:jc w:val="left"/>
      </w:pPr>
      <w:r>
        <w:rPr>
          <w:rFonts w:ascii="Arial Narrow" w:hAnsi="Arial Narrow"/>
          <w:b/>
          <w:color w:val="003087"/>
          <w:sz w:val="26"/>
        </w:rPr>
        <w:t>6. RECOMENDACIONES FINALES PARA EL BUEN USO DE LA HERRAMIENTA</w:t>
      </w:r>
    </w:p>
    <w:p>
      <w:pPr>
        <w:spacing w:line="276" w:lineRule="auto" w:after="70"/>
        <w:jc w:val="both"/>
      </w:pPr>
      <w:r>
        <w:rPr>
          <w:rFonts w:ascii="Arial Narrow" w:hAnsi="Arial Narrow"/>
          <w:b/>
          <w:color w:val="222222"/>
          <w:sz w:val="22"/>
        </w:rPr>
        <w:t xml:space="preserve">1. Custodia del PIN Institucional: </w:t>
      </w:r>
      <w:r>
        <w:rPr>
          <w:rFonts w:ascii="Arial Narrow" w:hAnsi="Arial Narrow"/>
          <w:color w:val="333333"/>
          <w:sz w:val="22"/>
        </w:rPr>
        <w:t>No compartir el PIN de seguridad ('2026') con personas externas a la cartera de proyectos, ya que este código es la llave que autoriza la sincronización directa con la base de datos de la Entidad.</w:t>
      </w:r>
    </w:p>
    <w:p>
      <w:pPr>
        <w:spacing w:line="276" w:lineRule="auto" w:after="70"/>
        <w:jc w:val="both"/>
      </w:pPr>
      <w:r>
        <w:rPr>
          <w:rFonts w:ascii="Arial Narrow" w:hAnsi="Arial Narrow"/>
          <w:b/>
          <w:color w:val="222222"/>
          <w:sz w:val="22"/>
        </w:rPr>
        <w:t xml:space="preserve">2. Registro de Traslados Mediante 'Pase': </w:t>
      </w:r>
      <w:r>
        <w:rPr>
          <w:rFonts w:ascii="Arial Narrow" w:hAnsi="Arial Narrow"/>
          <w:color w:val="333333"/>
          <w:sz w:val="22"/>
        </w:rPr>
        <w:t>Realizar las derivaciones siempre mediante el botón 'Pase', de modo que quede constancia del documento de traslado y de la nueva fecha de vencimiento asignada al área receptora.</w:t>
      </w:r>
    </w:p>
    <w:p>
      <w:pPr>
        <w:spacing w:line="276" w:lineRule="auto" w:after="70"/>
        <w:jc w:val="both"/>
      </w:pPr>
      <w:r>
        <w:rPr>
          <w:rFonts w:ascii="Arial Narrow" w:hAnsi="Arial Narrow"/>
          <w:b/>
          <w:color w:val="222222"/>
          <w:sz w:val="22"/>
        </w:rPr>
        <w:t xml:space="preserve">3. Certificación Legal Periódica: </w:t>
      </w:r>
      <w:r>
        <w:rPr>
          <w:rFonts w:ascii="Arial Narrow" w:hAnsi="Arial Narrow"/>
          <w:color w:val="333333"/>
          <w:sz w:val="22"/>
        </w:rPr>
        <w:t>Efectuar la revisión y certificación con el botón 'Validar' al menos una vez cada dos semanas para mantener el semáforo en verde y dar certeza a la Jefatura en su despacho semanal.</w:t>
      </w:r>
    </w:p>
    <w:p>
      <w:pPr>
        <w:spacing w:line="276" w:lineRule="auto" w:after="70"/>
        <w:jc w:val="both"/>
      </w:pPr>
      <w:r>
        <w:rPr>
          <w:rFonts w:ascii="Arial Narrow" w:hAnsi="Arial Narrow"/>
          <w:b/>
          <w:color w:val="222222"/>
          <w:sz w:val="22"/>
        </w:rPr>
        <w:t xml:space="preserve">4. Monitoreo Preventivo de Plazos Fatales: </w:t>
      </w:r>
      <w:r>
        <w:rPr>
          <w:rFonts w:ascii="Arial Narrow" w:hAnsi="Arial Narrow"/>
          <w:color w:val="333333"/>
          <w:sz w:val="22"/>
        </w:rPr>
        <w:t>Revisar semanalmente las alertas de color rojo 'FATAL' en el tablero superior para prevenir la caducidad involuntaria de plazos contractuales y evitar observaciones del Órgano de Control Institucional (OCI - CGR).</w:t>
      </w:r>
    </w:p>
    <w:p>
      <w:pPr>
        <w:spacing w:before="320"/>
        <w:jc w:val="center"/>
      </w:pPr>
      <w:r>
        <w:rPr>
          <w:rFonts w:ascii="Arial Narrow" w:hAnsi="Arial Narrow"/>
        </w:rPr>
        <w:t>_____________________________________________________</w:t>
        <w:br/>
      </w:r>
      <w:r>
        <w:rPr>
          <w:rFonts w:ascii="Arial Narrow" w:hAnsi="Arial Narrow"/>
          <w:b/>
        </w:rPr>
        <w:t>ING. MARCO AVILA</w:t>
        <w:br/>
      </w:r>
      <w:r>
        <w:rPr>
          <w:rFonts w:ascii="Arial Narrow" w:hAnsi="Arial Narrow"/>
        </w:rPr>
        <w:t>Especialista en Gestión Contractual, Modelamiento BIM y Solución de Controversias</w:t>
        <w:br/>
        <w:t>Provías Nacional — MTC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70"/>
    </w:pPr>
    <w:rPr>
      <w:rFonts w:ascii="Arial Narrow" w:hAnsi="Arial Narrow"/>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