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t>Dear LRO Staffing Hiring Team,</w:t>
      </w:r>
    </w:p>
    <w:p>
      <w:r>
        <w:t>I am applying for the Senior Platform &amp; Infrastructure Engineer opportunity with your software-industry client. My background combines platform automation, production reliability, Infrastructure as Code, and operational ownership across complex enterprise environments. I am based near Ottawa, fully bilingual in French and English, and available immediately.</w:t>
      </w:r>
    </w:p>
    <w:p>
      <w:r>
        <w:t>At Energir, I standardized CI/CD across 12 application teams, nine runtimes, and more than 70 applications while helping migrate 5-10 mission-critical services to Microsoft Azure. I used Terraform and Ansible to standardize provisioning across environments and reduce configuration drift, partnered with Enterprise Architecture on resilient cloud infrastructure, and drove adoption through recurring enablement sessions outside any reporting line.</w:t>
      </w:r>
    </w:p>
    <w:p>
      <w:r>
        <w:t>My strongest work begins when the requested task is narrower than the actual operational problem. At Desjardins, I was asked to verify the configuration of approximately 250 enterprise Artifactory repositories. I built a Python/FastAPI service that tested them every four hours and published their health to Dynatrace, then made the validation engine tool-agnostic and configurable. It became the regression-safety net for the platform's version upgrade. I chose that larger solution because it was the right answer for the operators who depended on it, not merely the cheapest implementation of the initial request.</w:t>
      </w:r>
    </w:p>
    <w:p>
      <w:r>
        <w:t>I also bring long-standing Linux and production-operations experience. At Tink, I automated patching and kernel reboots across more than 600 servers using Puppet and Spacewalk, built centralized ELK observability, and participated in a 24/7 on-call rotation. I reduced repeat incidents through root-cause analysis and automated remediation, including a self-healing response for an unstable Elasticsearch cluster.</w:t>
      </w:r>
    </w:p>
    <w:p>
      <w:r>
        <w:t>I would welcome a conversation about the client's platform, its distributed data services, and the expectations for its Canadian remote team. Thank you for your consideration.</w:t>
      </w:r>
    </w:p>
    <w:p>
      <w:r>
        <w:t>Sincerely,</w:t>
      </w:r>
    </w:p>
    <w:p>
      <w:r>
        <w:t>Marc Berthelette</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ascii="Arial" w:hAnsi="Arial"/>
      <w:b/>
      <w:bCs/>
      <w:color w:val="1A3C5E"/>
      <w:sz w:val="26"/>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rial" w:hAnsi="Arial"/>
      <w:b/>
      <w:bCs/>
      <w:color w:val="11111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0" w:line="240" w:lineRule="auto" w:before="100"/>
      <w:contextualSpacing/>
    </w:pPr>
    <w:rPr>
      <w:rFonts w:asciiTheme="majorHAnsi" w:eastAsiaTheme="majorEastAsia" w:hAnsiTheme="majorHAnsi" w:cstheme="majorBidi" w:ascii="Arial" w:hAnsi="Arial"/>
      <w:b/>
      <w:color w:val="1A3C5E"/>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