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Etude de la notice d’un téléscope</w:t>
      </w:r>
      <w:r>
        <w:rPr>
          <w:b/>
          <w:bCs/>
          <w:color w:val="ff0000"/>
          <w:highlight w:val="none"/>
        </w:rPr>
      </w:r>
    </w:p>
    <w:p>
      <w:pPr>
        <w:pStyle w:val="899"/>
        <w:numPr>
          <w:ilvl w:val="0"/>
          <w:numId w:val="2"/>
        </w:numPr>
        <w:pBdr/>
        <w:spacing/>
        <w:ind/>
        <w:rPr>
          <w:highlight w:val="none"/>
        </w:rPr>
      </w:pPr>
      <w:r>
        <w:t xml:space="preserve">Constitution du télescope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L’objectif du télescope est un miroir sphérique convergent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ANNEXE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a </w:t>
      </w:r>
      <m:oMath>
        <m:acc>
          <m:accPr>
            <m:chr m:val="̅"/>
            <m:ctrlPr>
              <w:rPr>
                <w:rFonts w:ascii="Cambria Math" w:hAnsi="Cambria Math" w:eastAsia="Cambria Math" w:cs="Cambria Math"/>
                <w:highlight w:val="none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CF</m:t>
            </m:r>
          </m:e>
        </m:acc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=2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=2000mm</m:t>
        </m:r>
      </m:oMath>
      <w:r>
        <w:rPr>
          <w:highlight w:val="none"/>
        </w:rPr>
        <w:t xml:space="preserve">. C et S sont situées sur l’axe optique  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Par construction, l’image d’un objet a l’infini se forme sur le plan focal image qui est le plan perpendiculaire a l’axe optique passant par f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ANNEXE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Le miroir sphérique donne une image intermédiaire qui est réfléchie par le miroir plan . On obtient ainsi une deuxième image intermédiaire qui constitue un objet pour l’oculaire.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Cette deuxième image intermédiaire doit se former dans le plan focal objet de l’oculaire</w:t>
      </w:r>
      <w:r>
        <w:rPr>
          <w:highlight w:val="none"/>
        </w:rPr>
      </w:r>
      <w:r>
        <w:rPr>
          <w:highlight w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Avec la relation de conjugaison de Descartes : </w:t>
      </w:r>
      <m:oMath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A'</m:t>
                </m:r>
              </m:e>
            </m:acc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A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</m:e>
            </m:acc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+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F'</m:t>
                </m:r>
              </m:e>
            </m:acc>
          </m:den>
        </m:f>
      </m:oMath>
      <w:r>
        <w:rPr>
          <w:highlight w:val="none"/>
        </w:rPr>
        <w:t xml:space="preserve">                     </w:t>
      </w:r>
      <w:r>
        <w:rPr>
          <w:highlight w:val="none"/>
        </w:rPr>
        <w:t xml:space="preserve"> Donc </w:t>
      </w:r>
      <m:oMath>
        <m:acc>
          <m:accPr>
            <m:chr m:val="̅"/>
            <m:ctrlPr>
              <w:rPr>
                <w:rFonts w:ascii="Cambria Math" w:hAnsi="Cambria Math" w:eastAsia="Cambria Math" w:cs="Cambria Math"/>
                <w:highlight w:val="none"/>
              </w:rPr>
            </m:ctrlPr>
          </m:accPr>
          <m:e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O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2</m:t>
                </m: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2</m:t>
                </m:r>
              </m:sub>
            </m:sSub>
          </m:e>
        </m:acc>
        <m:r>
          <w:rPr>
            <w:rFonts w:hint="default" w:ascii="Cambria Math" w:hAnsi="Cambria Math" w:eastAsia="Cambria Math" w:cs="Cambria Math"/>
            <w:highlight w:val="none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A'</m:t>
                </m:r>
              </m:e>
            </m:acc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*</m:t>
            </m:r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F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'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F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'</m:t>
                </m:r>
              </m:e>
            </m:acc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-</m:t>
            </m:r>
            <m:acc>
              <m:accPr>
                <m:chr m:val="̅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A'</m:t>
                </m:r>
              </m:e>
            </m:acc>
          </m:den>
        </m:f>
      </m:oMath>
      <w:r>
        <w:rPr>
          <w:highlight w:val="none"/>
        </w:rPr>
        <w:t xml:space="preserve">                                                                                               Donc</w:t>
      </w:r>
      <m:oMath>
        <m:func>
          <m:funcPr>
            <m:ctrlPr/>
          </m:funcPr>
          <m:fName>
            <m:limLow>
              <m:limLow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limLow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lim</m:t>
                </m:r>
              </m:e>
              <m:lim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/>
                      <m:t>OA'</m:t>
                    </m:r>
                  </m:e>
                </m:acc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→</m:t>
                </m:r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+∞</m:t>
                </m:r>
              </m:lim>
            </m:limLow>
          </m:fName>
          <m:e>
            <m:acc>
              <m:accPr>
                <m:chr m:val="̅"/>
                <m:ctrlPr>
                  <w:rPr>
                    <w:rFonts w:ascii="Cambria Math" w:hAnsi="Cambria Math" w:eastAsia="Cambria Math" w:cs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O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2</m:t>
                    </m:r>
                  </m:sub>
                </m:sSub>
              </m:e>
            </m:acc>
          </m:e>
        </m:func>
        <m:r>
          <w:rPr>
            <w:rFonts w:ascii="Cambria Math" w:hAnsi="Cambria Math" w:eastAsia="Cambria Math" w:cs="Cambria Math"/>
          </w:rPr>
          <m:rPr/>
          <m:t>=-</m:t>
        </m:r>
        <m:acc>
          <m:accPr>
            <m:chr m:val="̅"/>
            <m:ctrlPr>
              <w:rPr>
                <w:rFonts w:ascii="Cambria Math" w:hAnsi="Cambria Math" w:eastAsia="Cambria Math" w:cs="Cambria Math"/>
              </w:rPr>
            </m:ctrlPr>
          </m:accPr>
          <m:e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O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2</m:t>
                </m: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2</m:t>
                </m:r>
              </m:sub>
            </m:sSub>
            <m:r>
              <w:rPr>
                <w:rFonts w:ascii="Cambria Math" w:hAnsi="Cambria Math" w:eastAsia="Cambria Math" w:cs="Cambria Math"/>
              </w:rPr>
              <m:rPr/>
              <m:t>'</m:t>
            </m:r>
          </m:e>
        </m:acc>
      </m:oMath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1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Étude du cercle oculaire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Le cercle oculaire est l’image de l’objet par l’oculaire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ANNEXE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Si l’on place la pupille </w:t>
      </w:r>
      <w:r>
        <w:rPr>
          <w:highlight w:val="none"/>
        </w:rPr>
        <w:t xml:space="preserve">de l’œil</w:t>
      </w:r>
      <w:r>
        <w:rPr>
          <w:highlight w:val="none"/>
        </w:rPr>
        <w:t xml:space="preserve"> au niveau du cercle oculaire, la rétine reçoit le maximum de lumière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0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Grossissement du télescope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1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Pour avoir le plus grand grossissement il faut choisir l’objectif avec la plus petite distance focale. Avec le rapport G = </w:t>
      </w:r>
      <m:oMath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objecitf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oculaire</m:t>
                </m:r>
              </m:sub>
            </m:sSub>
          </m:den>
        </m:f>
      </m:oMath>
      <w:r>
        <w:rPr>
          <w:highlight w:val="none"/>
        </w:rPr>
        <w:t xml:space="preserve"> on voit que si la distance focale de l’oculaire diminue le grossissement G augmente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1"/>
          <w:numId w:val="2"/>
        </w:numPr>
        <w:pBdr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highlight w:val="none"/>
        </w:rPr>
        <w:t xml:space="preserve">Avec la formule précédente on a :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oculaire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objectif</m:t>
                </m:r>
              </m:sub>
            </m:sSub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G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1000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228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=4.39mm</m:t>
        </m:r>
      </m:oMath>
      <w:r>
        <w:rPr>
          <w:rFonts w:ascii="Cambria Math" w:hAnsi="Cambria Math" w:eastAsia="Cambria Math" w:cs="Cambria Math"/>
          <w:highlight w:val="none"/>
          <w14:ligatures w14:val="none"/>
        </w:rPr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Style w:val="899"/>
        <w:numPr>
          <w:ilvl w:val="1"/>
          <w:numId w:val="2"/>
        </w:numPr>
        <w:pBdr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highlight w:val="none"/>
        </w:rPr>
        <w:t xml:space="preserve">Avec la formule exprimant le grossissement en fonction du diamètre apparent</w:t>
      </w:r>
      <w:r>
        <w:rPr>
          <w:rFonts w:ascii="Cambria Math" w:hAnsi="Cambria Math" w:eastAsia="Cambria Math" w:cs="Cambria Math"/>
          <w:highlight w:val="none"/>
          <w14:ligatures w14:val="none"/>
        </w:rPr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highlight w:val="none"/>
        </w:rPr>
        <w:t xml:space="preserve">Le diamètre apparent d’un objet est l’angle sous lequel il nous apparaît </w:t>
      </w:r>
      <w:r>
        <w:rPr>
          <w:rFonts w:ascii="Cambria Math" w:hAnsi="Cambria Math" w:eastAsia="Cambria Math" w:cs="Cambria Math"/>
          <w:highlight w:val="none"/>
          <w14:ligatures w14:val="none"/>
        </w:rPr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highlight w:val="none"/>
        </w:rPr>
        <w:t xml:space="preserve">Le diamètre apparent du plus petit détail visible sur la lune est égal à                      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θ=</m:t>
        </m:r>
        <m:func>
          <m:funcPr>
            <m:ctrlPr>
              <w:rPr>
                <w:rFonts w:ascii="Cambria Math" w:hAnsi="Cambria Math" w:eastAsia="Cambria Math" w:cs="Cambria Math"/>
                <w:highlight w:val="none"/>
              </w:rPr>
            </m:ctrlPr>
          </m:funcPr>
          <m:fName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tan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t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detail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d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T-L</m:t>
                    </m:r>
                  </m:sub>
                </m:sSub>
              </m:den>
            </m:f>
          </m:e>
        </m:func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≈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2.1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3.8*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5</m:t>
                </m:r>
              </m:sup>
            </m:sSup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≈5.5*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-9</m:t>
            </m:r>
          </m:sup>
        </m:sSup>
      </m:oMath>
      <w:r>
        <w:rPr>
          <w:rFonts w:ascii="Cambria Math" w:hAnsi="Cambria Math" w:eastAsia="Cambria Math" w:cs="Cambria Math"/>
          <w:highlight w:val="none"/>
          <w14:ligatures w14:val="none"/>
        </w:rPr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Style w:val="899"/>
        <w:numPr>
          <w:ilvl w:val="2"/>
          <w:numId w:val="2"/>
        </w:numPr>
        <w:pBdr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highlight w:val="none"/>
        </w:rPr>
        <w:t xml:space="preserve">On a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G=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θ'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θ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objecitf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oculaire</m:t>
                </m:r>
              </m:sub>
            </m:sSub>
          </m:den>
        </m:f>
      </m:oMath>
      <w:r>
        <w:rPr>
          <w:highlight w:val="none"/>
        </w:rPr>
        <w:t xml:space="preserve">       Donc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θ'=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θ*</m:t>
            </m:r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objectif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f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oculaire</m:t>
                </m:r>
              </m:sub>
            </m:sSub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≈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5.5*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-6</m:t>
                </m:r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*1000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9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≈6.1*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-4</m:t>
            </m:r>
          </m:sup>
        </m:sSup>
      </m:oMath>
      <w:r>
        <w:rPr>
          <w:rFonts w:ascii="Cambria Math" w:hAnsi="Cambria Math" w:eastAsia="Cambria Math" w:cs="Cambria Math"/>
          <w:highlight w:val="none"/>
          <w14:ligatures w14:val="none"/>
        </w:rPr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Bdr/>
        <w:shd w:val="nil"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rFonts w:ascii="Cambria Math" w:hAnsi="Cambria Math" w:eastAsia="Cambria Math" w:cs="Cambria Math"/>
          <w:highlight w:val="none"/>
          <w14:ligatures w14:val="none"/>
        </w:rPr>
        <w:br w:type="page" w:clear="all"/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Bdr/>
        <w:spacing/>
        <w:ind w:firstLine="0" w:left="0"/>
        <w:rPr>
          <w:b/>
          <w:bCs/>
          <w:color w:val="ff0000"/>
          <w:highlight w:val="none"/>
        </w:rPr>
      </w:pPr>
      <w:r>
        <w:rPr>
          <w:b/>
          <w:bCs/>
          <w:color w:val="ff0000"/>
        </w:rPr>
        <w:t xml:space="preserve">Petite histoire d’une lentille et de deux miroirs 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>
      <w:pPr>
        <w:pStyle w:val="899"/>
        <w:numPr>
          <w:ilvl w:val="0"/>
          <w:numId w:val="8"/>
        </w:numPr>
        <w:pBdr/>
        <w:spacing/>
        <w:ind/>
        <w:rPr/>
      </w:pPr>
      <w:r>
        <w:rPr>
          <w:b/>
          <w:bCs/>
          <w:highlight w:val="none"/>
        </w:rPr>
        <w:t xml:space="preserve">Étude des miroirs du télescope</w:t>
      </w:r>
      <w:r/>
      <w:r/>
    </w:p>
    <w:p>
      <w:pPr>
        <w:pBdr/>
        <w:spacing/>
        <w:ind w:firstLine="0" w:left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1.1 Par construction graphique le miroir qui donne une image agrandi est le miroir </w:t>
      </w:r>
      <w:r>
        <w:rPr>
          <w:b w:val="0"/>
          <w:bCs w:val="0"/>
          <w:highlight w:val="none"/>
        </w:rPr>
        <w:t xml:space="preserve">sphérique convergent. Donc le miroir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M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sub>
        </m:sSub>
      </m:oMath>
      <w:r>
        <w:rPr>
          <w:b w:val="0"/>
          <w:bCs w:val="0"/>
          <w:highlight w:val="none"/>
        </w:rPr>
        <w:t xml:space="preserve"> est sphérique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99"/>
        <w:pBdr/>
        <w:spacing w:after="0"/>
        <w:ind w:firstLine="0" w:left="277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</w:t>
        <w:tab/>
        <w:t xml:space="preserve">1.2 </w:t>
      </w:r>
      <w:r>
        <w:rPr>
          <w:b w:val="0"/>
          <w:bCs w:val="0"/>
          <w:highlight w:val="none"/>
        </w:rPr>
        <w:t xml:space="preserve">Si clémentine utilise un écran entier pour chercher à observer une image elle ne pourra en obtenir car les rayons seront stoppés par l’écran avant qu’ils n’atteignent le miroir. Avec le demi-écran, une partie de la lumière incidente passe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8"/>
        <w:pBdr/>
        <w:spacing w:after="240"/>
        <w:ind w:right="0" w:firstLine="709" w:left="283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Vu que la distance sommet du miroir objet est très grande, on peut dire que l’objet GH est à l’infini. Donc son image G’H’ se forme dans le plan focal du miroir sphérique. La distance focale est donc approximativement égale à </w:t>
      </w:r>
      <m:oMath>
        <m:r>
          <w:rPr>
            <w:highlight w:val="none"/>
          </w:rPr>
          <m:rPr>
            <m:sty m:val="i"/>
          </m:rPr>
          <m:t>90cm</m:t>
        </m:r>
      </m:oMath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9"/>
        <w:numPr>
          <w:ilvl w:val="0"/>
          <w:numId w:val="8"/>
        </w:numPr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Étude de la lentille du télescope</w:t>
      </w:r>
      <w:r>
        <w:rPr>
          <w:b w:val="0"/>
          <w:bCs w:val="0"/>
          <w:highlight w:val="none"/>
        </w:rPr>
        <w:tab/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9"/>
        <w:numPr>
          <w:ilvl w:val="1"/>
          <w:numId w:val="8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La distance focale de la lentille, obtenue grâce aux deux rayons particuliers passant par le foyer est donc d’approximativement </w:t>
      </w:r>
      <m:oMath>
        <m:r>
          <w:rPr>
            <w:highlight w:val="none"/>
          </w:rPr>
          <m:rPr>
            <m:sty m:val="i"/>
          </m:rPr>
          <m:t>2cm</m:t>
        </m:r>
      </m:oMath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9"/>
        <w:numPr>
          <w:ilvl w:val="1"/>
          <w:numId w:val="8"/>
        </w:numPr>
        <w:pBdr/>
        <w:spacing w:after="0"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Avec la relation de conjugaison de Descartes :</w:t>
      </w:r>
      <w:r>
        <w:rPr>
          <w:b w:val="0"/>
          <w:bCs w:val="0"/>
          <w:highlight w:val="none"/>
        </w:rPr>
        <w:t xml:space="preserve"> </w:t>
      </w:r>
      <m:oMath>
        <m:f>
          <m:fPr>
            <m:ctrlPr/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</w:rPr>
                </m:ctrlPr>
              </m:accPr>
              <m:e>
                <m:r>
                  <w:rPr>
                    <w:rFonts w:ascii="Cambria Math" w:hAnsi="Cambria Math" w:eastAsia="Cambria Math" w:cs="Cambria Math"/>
                  </w:rPr>
                  <m:rPr/>
                  <m:t>OA'</m:t>
                </m:r>
              </m:e>
            </m:acc>
          </m:den>
        </m:f>
        <m:r>
          <w:rPr>
            <w:rFonts w:ascii="Cambria Math" w:hAnsi="Cambria Math" w:eastAsia="Cambria Math" w:cs="Cambria Math"/>
          </w:rPr>
          <m:rPr/>
          <m:t>-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</w:rPr>
                </m:ctrlPr>
              </m:accPr>
              <m:e>
                <m:r>
                  <w:rPr>
                    <w:rFonts w:ascii="Cambria Math" w:hAnsi="Cambria Math" w:eastAsia="Cambria Math" w:cs="Cambria Math"/>
                  </w:rPr>
                  <m:rPr/>
                  <m:t>OA</m:t>
                </m:r>
              </m:e>
            </m:acc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acc>
              <m:accPr>
                <m:chr m:val="̅"/>
                <m:ctrlPr>
                  <w:rPr>
                    <w:rFonts w:ascii="Cambria Math" w:hAnsi="Cambria Math" w:eastAsia="Cambria Math" w:cs="Cambria Math"/>
                  </w:rPr>
                </m:ctrlPr>
              </m:accPr>
              <m:e>
                <m:r>
                  <w:rPr>
                    <w:rFonts w:ascii="Cambria Math" w:hAnsi="Cambria Math" w:eastAsia="Cambria Math" w:cs="Cambria Math"/>
                  </w:rPr>
                  <m:rPr/>
                  <m:t>OF'</m:t>
                </m:r>
              </m:e>
            </m:acc>
          </m:den>
        </m:f>
      </m:oMath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98"/>
        <w:pBdr/>
        <w:spacing w:after="240"/>
        <w:ind w:right="0" w:firstLine="709" w:left="283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  Donc : </w:t>
      </w:r>
      <m:oMath>
        <m:acc>
          <m:accPr>
            <m:chr m:val="̅"/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OF'</m:t>
            </m:r>
          </m:e>
        </m:acc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num>
          <m:den>
            <m:f>
              <m:fPr>
                <m:ctrlPr>
                  <w:rPr>
                    <w:rFonts w:ascii="Cambria Math" w:hAnsi="Cambria Math" w:eastAsia="Cambria Math" w:cs="Cambria Math"/>
                    <w:b w:val="0"/>
                    <w:highlight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1</m:t>
                </m:r>
              </m:num>
              <m:den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b w:val="0"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OA'</m:t>
                    </m:r>
                  </m:e>
                </m:acc>
              </m:den>
            </m:f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  <m:f>
              <m:fPr>
                <m:ctrlPr>
                  <w:rPr>
                    <w:rFonts w:ascii="Cambria Math" w:hAnsi="Cambria Math" w:eastAsia="Cambria Math" w:cs="Cambria Math"/>
                    <w:b w:val="0"/>
                    <w:highlight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1</m:t>
                </m:r>
              </m:num>
              <m:den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b w:val="0"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OA</m:t>
                    </m:r>
                  </m:e>
                </m:acc>
              </m:den>
            </m:f>
          </m:den>
        </m:f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num>
          <m:den>
            <m:f>
              <m:fPr>
                <m:ctrlPr>
                  <w:rPr>
                    <w:rFonts w:ascii="Cambria Math" w:hAnsi="Cambria Math" w:eastAsia="Cambria Math" w:cs="Cambria Math"/>
                    <w:b w:val="0"/>
                    <w:highlight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1</m:t>
                </m:r>
              </m:num>
              <m:den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b w:val="0"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3,0</m:t>
                    </m:r>
                  </m:e>
                </m:acc>
              </m:den>
            </m:f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</m:t>
            </m:r>
            <m:f>
              <m:fPr>
                <m:ctrlPr>
                  <w:rPr>
                    <w:rFonts w:ascii="Cambria Math" w:hAnsi="Cambria Math" w:eastAsia="Cambria Math" w:cs="Cambria Math"/>
                    <w:b w:val="0"/>
                    <w:highlight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1</m:t>
                </m:r>
              </m:num>
              <m:den>
                <m:acc>
                  <m:accPr>
                    <m:chr m:val="̅"/>
                    <m:ctrlPr>
                      <w:rPr>
                        <w:rFonts w:ascii="Cambria Math" w:hAnsi="Cambria Math" w:eastAsia="Cambria Math" w:cs="Cambria Math"/>
                        <w:b w:val="0"/>
                        <w:highlight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-6,0</m:t>
                    </m:r>
                  </m:e>
                </m:acc>
              </m:den>
            </m:f>
          </m:den>
        </m:f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=2,0cm</m:t>
        </m:r>
      </m:oMath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99"/>
        <w:numPr>
          <w:ilvl w:val="0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Observation d’une éclipse de lune avec le télescope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1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L’objectif est le miroir sphérique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M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</m:t>
            </m:r>
          </m:sub>
        </m:sSub>
      </m:oMath>
      <w:r>
        <w:rPr>
          <w:b w:val="0"/>
          <w:bCs w:val="0"/>
          <w:highlight w:val="none"/>
        </w:rPr>
        <w:t xml:space="preserve">, la lentille L joue le rôle de l’oculaire , le miroir plan renvoie l’image intermédiaire perpendiculairement pour une observation de biais.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1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Lune KN à l’infini.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2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Annexe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2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Annexe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2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La lentille L est correctement placée car l’objet renvoyé par le miroir est bien dans le plan focal objet de L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2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Annexe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1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Calcul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2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On a </w:t>
      </w:r>
      <m:oMath>
        <m:r>
          <w:rPr>
            <w:rFonts w:ascii="Cambria Math" w:hAnsi="Cambria Math" w:eastAsia="Cambria Math" w:cs="Cambria Math"/>
          </w:rPr>
          <m:rPr/>
          <m:t>α≃</m:t>
        </m:r>
        <m:func>
          <m:funcPr>
            <m:ctrlPr>
              <w:rPr>
                <w:rFonts w:ascii="Cambria Math" w:hAnsi="Cambria Math" w:eastAsia="Cambria Math" w:cs="Cambria Math"/>
              </w:rPr>
            </m:ctrlPr>
          </m:funcPr>
          <m:fName>
            <m:r>
              <w:rPr>
                <w:rFonts w:ascii="Cambria Math" w:hAnsi="Cambria Math" w:eastAsia="Cambria Math" w:cs="Cambria Math"/>
              </w:rPr>
              <m:rPr/>
              <m:t>tan</m:t>
            </m:r>
          </m:fName>
          <m:e>
            <m:r>
              <w:rPr>
                <w:rFonts w:ascii="Cambria Math" w:hAnsi="Cambria Math" w:eastAsia="Cambria Math" w:cs="Cambria Math"/>
              </w:rPr>
              <m:rPr/>
              <m:t>α</m:t>
            </m:r>
          </m:e>
        </m:func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1</m:t>
                </m: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N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objectif</m:t>
                </m:r>
              </m:sub>
            </m:sSub>
          </m:den>
        </m:f>
      </m:oMath>
      <w:r>
        <w:rPr>
          <w:b w:val="0"/>
          <w:bCs w:val="0"/>
          <w:highlight w:val="none"/>
        </w:rPr>
        <w:t xml:space="preserve"> et </w:t>
      </w:r>
      <m:oMath>
        <m:r>
          <w:rPr>
            <w:rFonts w:ascii="Cambria Math" w:hAnsi="Cambria Math" w:eastAsia="Cambria Math" w:cs="Cambria Math"/>
          </w:rPr>
          <m:rPr/>
          <m:t>α'≃</m:t>
        </m:r>
        <m:func>
          <m:funcPr>
            <m:ctrlPr>
              <w:rPr>
                <w:rFonts w:ascii="Cambria Math" w:hAnsi="Cambria Math" w:eastAsia="Cambria Math" w:cs="Cambria Math"/>
              </w:rPr>
            </m:ctrlPr>
          </m:funcPr>
          <m:fName>
            <m:r>
              <w:rPr>
                <w:rFonts w:ascii="Cambria Math" w:hAnsi="Cambria Math" w:eastAsia="Cambria Math" w:cs="Cambria Math"/>
              </w:rPr>
              <m:rPr/>
              <m:t>tan</m:t>
            </m:r>
          </m:fName>
          <m:e>
            <m:r>
              <w:rPr>
                <w:rFonts w:ascii="Cambria Math" w:hAnsi="Cambria Math" w:eastAsia="Cambria Math" w:cs="Cambria Math"/>
              </w:rPr>
              <m:rPr/>
              <m:t>α'</m:t>
            </m:r>
          </m:e>
        </m:func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K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2</m:t>
                </m:r>
              </m:sub>
            </m:sSub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N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oculaire</m:t>
                </m:r>
              </m:sub>
            </m:sSub>
          </m:den>
        </m:f>
      </m:oMath>
      <w:r>
        <w:rPr>
          <w:b w:val="0"/>
          <w:bCs w:val="0"/>
          <w:highlight w:val="none"/>
        </w:rPr>
        <w:t xml:space="preserve"> de plus </w:t>
      </w:r>
      <m:oMath>
        <m:sSub>
          <m:sSubPr>
            <m:ctrlPr/>
          </m:sSubPr>
          <m:e>
            <m:r>
              <w:rPr>
                <w:rFonts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N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</m:sub>
        </m:sSub>
        <m:r>
          <w:rPr>
            <w:rFonts w:ascii="Cambria Math" w:hAnsi="Cambria Math" w:eastAsia="Cambria Math" w:cs="Cambria Math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K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2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w:rPr>
                <w:rFonts w:ascii="Cambria Math" w:hAnsi="Cambria Math" w:eastAsia="Cambria Math" w:cs="Cambria Math"/>
              </w:rPr>
              <m:rPr/>
              <m:t>N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2</m:t>
            </m:r>
          </m:sub>
        </m:sSub>
      </m:oMath>
      <w:r>
        <w:rPr>
          <w:b w:val="0"/>
          <w:bCs w:val="0"/>
          <w:highlight w:val="none"/>
        </w:rPr>
        <w:t xml:space="preserve">        Donc </w:t>
      </w:r>
      <m:oMath>
        <m:r>
          <w:rPr>
            <w:rFonts w:ascii="Cambria Math" w:hAnsi="Cambria Math" w:eastAsia="Cambria Math" w:cs="Cambria Math"/>
          </w:rPr>
          <m:rPr/>
          <m:t>G=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α'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α</m:t>
            </m:r>
          </m:den>
        </m:f>
        <m:r>
          <w:rPr>
            <w:rFonts w:ascii="Cambria Math" w:hAnsi="Cambria Math" w:eastAsia="Cambria Math" w:cs="Cambria Math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objectif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w:rPr>
                    <w:rFonts w:ascii="Cambria Math" w:hAnsi="Cambria Math" w:eastAsia="Cambria Math" w:cs="Cambria Math"/>
                  </w:rPr>
                  <m:rPr/>
                  <m:t>f</m:t>
                </m:r>
              </m:e>
              <m:sub>
                <m:r>
                  <w:rPr>
                    <w:rFonts w:ascii="Cambria Math" w:hAnsi="Cambria Math" w:eastAsia="Cambria Math" w:cs="Cambria Math"/>
                  </w:rPr>
                  <m:rPr/>
                  <m:t>oculaire</m:t>
                </m:r>
              </m:sub>
            </m:sSub>
          </m:den>
        </m:f>
      </m:oMath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99"/>
        <w:numPr>
          <w:ilvl w:val="2"/>
          <w:numId w:val="8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Application numérique :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G=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90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2.0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=45</m:t>
        </m:r>
      </m:oMath>
      <w:r>
        <w:rPr>
          <w:b w:val="0"/>
          <w:bCs w:val="0"/>
          <w:highlight w:val="none"/>
        </w:rPr>
        <w:t xml:space="preserve">. Le grossissement maximum est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G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max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=120*2.5=300</m:t>
        </m:r>
      </m:oMath>
      <w:r>
        <w:rPr>
          <w:b w:val="0"/>
          <w:bCs w:val="0"/>
          <w:highlight w:val="none"/>
        </w:rPr>
        <w:t xml:space="preserve"> donc l’image sera nette si Clémentine n’est pas myope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Bdr/>
        <w:shd w:val="nil"/>
        <w:spacing/>
        <w:ind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rFonts w:ascii="Cambria Math" w:hAnsi="Cambria Math" w:eastAsia="Cambria Math" w:cs="Cambria Math"/>
          <w:highlight w:val="none"/>
          <w14:ligatures w14:val="none"/>
        </w:rPr>
        <w:br w:type="page" w:clear="all"/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p>
      <w:pPr>
        <w:pBdr/>
        <w:spacing/>
        <w:ind w:firstLine="0" w:left="0"/>
        <w:rPr>
          <w:b/>
          <w:bCs/>
          <w:color w:val="ff0000"/>
        </w:rPr>
      </w:pPr>
      <w:r>
        <w:rPr>
          <w:b/>
          <w:bCs/>
          <w:color w:val="ff0000"/>
          <w:highlight w:val="none"/>
        </w:rPr>
        <w:t xml:space="preserve">Quelques problèmes en astronomie</w: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Style w:val="899"/>
        <w:numPr>
          <w:ilvl w:val="0"/>
          <w:numId w:val="9"/>
        </w:numPr>
        <w:pBdr/>
        <w:spacing/>
        <w:ind/>
        <w:rPr/>
      </w:pPr>
      <w:r>
        <w:t xml:space="preserve">On a la relation </w:t>
      </w:r>
      <m:oMath>
        <m:r>
          <w:rPr>
            <w:rFonts w:hint="default" w:ascii="Cambria Math" w:hAnsi="Cambria Math" w:eastAsia="Cambria Math" w:cs="Cambria Math"/>
          </w:rPr>
          <m:rPr>
            <m:sty m:val="i"/>
          </m:rPr>
          <m:t>c=λ*N</m:t>
        </m:r>
      </m:oMath>
      <w:r/>
      <w:r/>
    </w:p>
    <w:p>
      <w:pPr>
        <w:pStyle w:val="899"/>
        <w:numPr>
          <w:ilvl w:val="0"/>
          <w:numId w:val="9"/>
        </w:numPr>
        <w:pBdr/>
        <w:spacing/>
        <w:ind w:right="-141" w:hanging="360" w:left="709"/>
        <w:rPr>
          <w:rFonts w:ascii="Cambria Math" w:hAnsi="Cambria Math" w:eastAsia="Cambria Math" w:cs="Cambria Math"/>
          <w:highlight w:val="none"/>
        </w:rPr>
      </w:pPr>
      <w:r>
        <w:rPr>
          <w:highlight w:val="none"/>
        </w:rPr>
        <w:t xml:space="preserve">Dans l’ordre croissant de longueur d’onde : gamma (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λ&lt;0,01nm</m:t>
        </m:r>
      </m:oMath>
      <w:r>
        <w:rPr>
          <w:highlight w:val="none"/>
        </w:rPr>
        <w:t xml:space="preserve">), X </w:t>
      </w:r>
      <w:r>
        <w:rPr>
          <w:highlight w:val="none"/>
        </w:rPr>
        <w:t xml:space="preserve">(0,01nm &lt;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λ&lt;10nm</m:t>
        </m:r>
      </m:oMath>
      <w:r>
        <w:rPr>
          <w:highlight w:val="none"/>
        </w:rPr>
        <w:t xml:space="preserve">)</w:t>
      </w:r>
      <w:r>
        <w:rPr>
          <w:highlight w:val="none"/>
        </w:rPr>
        <w:t xml:space="preserve">, ultra-violet </w:t>
      </w:r>
      <w:r>
        <w:rPr>
          <w:highlight w:val="none"/>
        </w:rPr>
        <w:t xml:space="preserve">(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10&lt;λ&lt;400nm</m:t>
        </m:r>
      </m:oMath>
      <w:r>
        <w:rPr>
          <w:highlight w:val="none"/>
        </w:rPr>
        <w:t xml:space="preserve">)</w:t>
      </w:r>
      <w:r>
        <w:rPr>
          <w:highlight w:val="none"/>
        </w:rPr>
        <w:t xml:space="preserve">, visible </w:t>
      </w:r>
      <w:r>
        <w:rPr>
          <w:highlight w:val="none"/>
        </w:rPr>
        <w:t xml:space="preserve">(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400nm&lt;λ&lt;700nm</m:t>
        </m:r>
      </m:oMath>
      <w:r>
        <w:rPr>
          <w:highlight w:val="none"/>
        </w:rPr>
        <w:t xml:space="preserve">)</w:t>
      </w:r>
      <w:r>
        <w:rPr>
          <w:highlight w:val="none"/>
        </w:rPr>
        <w:t xml:space="preserve">, infrarouge </w:t>
      </w:r>
      <w:r>
        <w:rPr>
          <w:highlight w:val="none"/>
        </w:rPr>
        <w:t xml:space="preserve">(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0.7</m:t>
        </m:r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μ</m:t>
        </m:r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m&lt;λ&lt;1m</m:t>
        </m:r>
      </m:oMath>
      <w:r/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m</m:t>
        </m:r>
      </m:oMath>
      <w:r>
        <w:rPr>
          <w:highlight w:val="none"/>
        </w:rPr>
        <w:t xml:space="preserve">)</w:t>
      </w:r>
      <w:r>
        <w:rPr>
          <w:highlight w:val="none"/>
        </w:rPr>
        <w:t xml:space="preserve">, radio</w:t>
      </w:r>
      <w:r>
        <w:rPr>
          <w:highlight w:val="none"/>
        </w:rPr>
        <w:t xml:space="preserve"> (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1mm&lt;λ</m:t>
        </m:r>
      </m:oMath>
      <w:r>
        <w:rPr>
          <w:highlight w:val="none"/>
        </w:rPr>
        <w:t xml:space="preserve">)</w:t>
      </w:r>
      <w:r>
        <w:rPr>
          <w:highlight w:val="none"/>
        </w:rPr>
        <w:t xml:space="preserve">.</w:t>
      </w:r>
      <w:r>
        <w:rPr>
          <w:rFonts w:ascii="Cambria Math" w:hAnsi="Cambria Math" w:eastAsia="Cambria Math" w:cs="Cambria Math"/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</w:p>
    <w:p>
      <w:pPr>
        <w:pStyle w:val="899"/>
        <w:numPr>
          <w:ilvl w:val="0"/>
          <w:numId w:val="9"/>
        </w:numPr>
        <w:pBdr/>
        <w:spacing/>
        <w:ind w:right="-141" w:hanging="360" w:left="709"/>
        <w:rPr>
          <w:rFonts w:ascii="Cambria Math" w:hAnsi="Cambria Math" w:eastAsia="Cambria Math" w:cs="Cambria Math"/>
          <w:highlight w:val="none"/>
        </w:rPr>
      </w:pPr>
      <w:r>
        <w:rPr>
          <w:highlight w:val="none"/>
        </w:rPr>
        <w:t xml:space="preserve">On a </w:t>
      </w:r>
      <m:oMath>
        <m:r>
          <w:rPr>
            <w:rFonts w:hint="default" w:ascii="Cambria Math" w:hAnsi="Cambria Math" w:eastAsia="Cambria Math" w:cs="Cambria Math"/>
          </w:rPr>
          <m:rPr>
            <m:sty m:val="i"/>
          </m:rPr>
          <m:t>c=λ*N</m:t>
        </m:r>
      </m:oMath>
      <w:r>
        <w:rPr>
          <w:highlight w:val="none"/>
        </w:rPr>
        <w:t xml:space="preserve"> donc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λ=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c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highlight w:val="none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3,00*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/>
                  <m:t>8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470</m:t>
            </m:r>
          </m:den>
        </m:f>
        <m:r>
          <w:rPr>
            <w:rFonts w:hint="default" w:ascii="Cambria Math" w:hAnsi="Cambria Math" w:eastAsia="Cambria Math" w:cs="Cambria Math"/>
            <w:highlight w:val="none"/>
          </w:rPr>
          <m:rPr/>
          <m:t>=6,4*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/>
              <m:t>5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/>
          <m:t>m</m:t>
        </m:r>
      </m:oMath>
      <w:r>
        <w:rPr>
          <w:highlight w:val="none"/>
        </w:rPr>
        <w:t xml:space="preserve">. C’est donc une onde radio </w:t>
      </w:r>
      <w:r>
        <w:rPr>
          <w:rFonts w:ascii="Cambria Math" w:hAnsi="Cambria Math" w:eastAsia="Cambria Math" w:cs="Cambria Math"/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</w:p>
    <w:p>
      <w:pPr>
        <w:pStyle w:val="899"/>
        <w:numPr>
          <w:ilvl w:val="0"/>
          <w:numId w:val="9"/>
        </w:numPr>
        <w:pBdr/>
        <w:spacing/>
        <w:ind w:right="-141"/>
        <w:rPr>
          <w:rFonts w:ascii="Cambria Math" w:hAnsi="Cambria Math" w:eastAsia="Cambria Math" w:cs="Cambria Math"/>
          <w:highlight w:val="none"/>
        </w:rPr>
      </w:pPr>
      <w:r>
        <w:rPr>
          <w:highlight w:val="none"/>
        </w:rPr>
        <w:t xml:space="preserve">Avec le télescope du Mont Palomar</w:t>
      </w:r>
      <w:r>
        <w:rPr>
          <w:rFonts w:ascii="Cambria Math" w:hAnsi="Cambria Math" w:eastAsia="Cambria Math" w:cs="Cambria Math"/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</w:p>
    <w:p>
      <w:pPr>
        <w:pStyle w:val="899"/>
        <w:numPr>
          <w:ilvl w:val="1"/>
          <w:numId w:val="9"/>
        </w:numPr>
        <w:pBdr/>
        <w:spacing/>
        <w:ind w:right="-141"/>
        <w:rPr>
          <w:rFonts w:ascii="Cambria Math" w:hAnsi="Cambria Math" w:eastAsia="Cambria Math" w:cs="Cambria Math"/>
          <w:highlight w:val="none"/>
        </w:rPr>
      </w:pPr>
      <w:r>
        <w:rPr>
          <w:highlight w:val="none"/>
        </w:rPr>
        <w:t xml:space="preserve">L’image A’ se forme sur le plan focal du miroir sphérique convergent (voir figure 1) </w:t>
      </w:r>
      <w:r>
        <w:rPr>
          <w:rFonts w:ascii="Cambria Math" w:hAnsi="Cambria Math" w:eastAsia="Cambria Math" w:cs="Cambria Math"/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</w:p>
    <w:p>
      <w:pPr>
        <w:pStyle w:val="899"/>
        <w:numPr>
          <w:ilvl w:val="1"/>
          <w:numId w:val="9"/>
        </w:numPr>
        <w:pBdr/>
        <w:spacing/>
        <w:ind w:right="-141"/>
        <w:rPr>
          <w:rFonts w:ascii="Cambria Math" w:hAnsi="Cambria Math" w:eastAsia="Cambria Math" w:cs="Cambria Math"/>
          <w:highlight w:val="none"/>
        </w:rPr>
      </w:pPr>
      <w:r>
        <w:rPr>
          <w:highlight w:val="none"/>
        </w:rPr>
        <w:t xml:space="preserve">L’image A’ se forme à 2.3m du point d’intersection du miroir plan est de l’axe optique du miroir sphérique, sur l’axe optique du miroir plan.</w:t>
      </w:r>
      <w:r>
        <w:rPr>
          <w:rFonts w:ascii="Cambria Math" w:hAnsi="Cambria Math" w:eastAsia="Cambria Math" w:cs="Cambria Math"/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</w:p>
    <w:p>
      <w:pPr>
        <w:pStyle w:val="899"/>
        <w:numPr>
          <w:ilvl w:val="1"/>
          <w:numId w:val="9"/>
        </w:numPr>
        <w:pBdr/>
        <w:spacing/>
        <w:ind w:right="-141"/>
        <w:rPr>
          <w:rFonts w:ascii="Cambria Math" w:hAnsi="Cambria Math" w:eastAsia="Cambria Math" w:cs="Cambria Math"/>
          <w:highlight w:val="none"/>
        </w:rPr>
      </w:pPr>
      <w:r>
        <w:rPr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  <w:r>
        <w:rPr>
          <w:rFonts w:ascii="Cambria Math" w:hAnsi="Cambria Math" w:eastAsia="Cambria Math" w:cs="Cambria Math"/>
          <w:highlight w:val="none"/>
        </w:rPr>
      </w:r>
    </w:p>
    <w:p>
      <w:pPr>
        <w:pBdr/>
        <w:spacing/>
        <w:ind w:firstLine="0" w:left="360"/>
        <w:rPr>
          <w:rFonts w:ascii="Cambria Math" w:hAnsi="Cambria Math" w:eastAsia="Cambria Math" w:cs="Cambria Math"/>
          <w:highlight w:val="none"/>
          <w14:ligatures w14:val="none"/>
        </w:rPr>
      </w:pPr>
      <w:r>
        <w:rPr>
          <w:rFonts w:ascii="Cambria Math" w:hAnsi="Cambria Math" w:eastAsia="Cambria Math" w:cs="Cambria Math"/>
          <w:highlight w:val="none"/>
          <w14:ligatures w14:val="none"/>
        </w:rPr>
      </w:r>
      <w:r>
        <w:rPr>
          <w:rFonts w:ascii="Cambria Math" w:hAnsi="Cambria Math" w:eastAsia="Cambria Math" w:cs="Cambria Math"/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>
        <w:b w:val="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5"/>
    <w:next w:val="895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5"/>
    <w:next w:val="895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5"/>
    <w:next w:val="895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5"/>
    <w:next w:val="895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5"/>
    <w:next w:val="895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5"/>
    <w:next w:val="895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5"/>
    <w:next w:val="895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5"/>
    <w:next w:val="895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5"/>
    <w:next w:val="895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5"/>
    <w:next w:val="895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5"/>
    <w:next w:val="895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5"/>
    <w:next w:val="895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5"/>
    <w:next w:val="895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5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5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6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7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8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9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90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1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2">
    <w:name w:val="toc 9"/>
    <w:basedOn w:val="895"/>
    <w:next w:val="895"/>
    <w:uiPriority w:val="39"/>
    <w:unhideWhenUsed/>
    <w:pPr>
      <w:pBdr/>
      <w:spacing w:after="100"/>
      <w:ind w:left="1760"/>
    </w:p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basedOn w:val="895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89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2026-01-03T16:01:50Z</dcterms:modified>
</cp:coreProperties>
</file>