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p>
    <w:p>
      <w:pPr>
        <w:spacing w:before="0" w:after="200"/>
        <w:jc w:val="center"/>
      </w:pPr>
      <w:r>
        <w:rPr>
          <w:rFonts w:ascii="Calibri" w:cs="Calibri" w:eastAsia="Calibri" w:hAnsi="Calibri"/>
          <w:b/>
          <w:bCs/>
          <w:color w:val="2E86C1"/>
          <w:sz w:val="22"/>
          <w:szCs w:val="22"/>
        </w:rPr>
        <w:t xml:space="preserve">Every financial situation. One team. One point of contact.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sz="0"/>
              <w:left w:val="none" w:sz="0"/>
              <w:bottom w:val="none" w:sz="0"/>
              <w:right w:val="none" w:sz="0"/>
            </w:tcBorders>
            <w:shd w:fill="EBF5FB" w:val="clear"/>
            <w:tcMar>
              <w:top w:type="dxa" w:w="100"/>
              <w:left w:type="dxa" w:w="200"/>
              <w:bottom w:type="dxa" w:w="100"/>
              <w:right w:type="dxa" w:w="200"/>
            </w:tcMar>
          </w:tcPr>
          <w:p>
            <w:pPr>
              <w:spacing w:after="80"/>
            </w:pPr>
            <w:r>
              <w:rPr>
                <w:b/>
                <w:bCs/>
                <w:color w:val="1B4F72"/>
                <w:sz w:val="22"/>
                <w:szCs w:val="22"/>
              </w:rPr>
              <w:t xml:space="preserve">THE CHALLENGE</w:t>
            </w:r>
          </w:p>
          <w:p>
            <w:pPr>
              <w:spacing w:after="0"/>
            </w:pPr>
            <w:r>
              <w:rPr>
                <w:color w:val="2C3E50"/>
                <w:sz w:val="20"/>
                <w:szCs w:val="20"/>
              </w:rPr>
              <w:t xml:space="preserve">Your patient is medically stable and ready for discharge, but the family has no placement plan. They may own a home with equity but no liquid funds, have limited resources that need careful planning, or need Medicaid from the start. The family is overwhelmed, out of state, or unsure where to begin.</w:t>
            </w:r>
          </w:p>
        </w:tc>
      </w:tr>
    </w:tbl>
    <w:p>
      <w:pPr>
        <w:spacing w:before="200" w:after="100"/>
      </w:pPr>
    </w:p>
    <w:p>
      <w:pPr>
        <w:spacing w:after="100"/>
      </w:pPr>
      <w:r>
        <w:rPr>
          <w:b/>
          <w:bCs/>
          <w:color w:val="1B4F72"/>
          <w:sz w:val="22"/>
          <w:szCs w:val="22"/>
        </w:rPr>
        <w:t xml:space="preserve">WHO WE HELP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2E86C1" w:sz="2"/>
              <w:left w:val="single" w:color="2E86C1" w:sz="2"/>
              <w:bottom w:val="single" w:color="2E86C1" w:sz="2"/>
              <w:right w:val="single" w:color="2E86C1" w:sz="2"/>
            </w:tcBorders>
            <w:shd w:fill="E8F5E9" w:val="clear"/>
            <w:tcMar>
              <w:top w:type="dxa" w:w="80"/>
              <w:left w:type="dxa" w:w="100"/>
              <w:bottom w:type="dxa" w:w="80"/>
              <w:right w:type="dxa" w:w="100"/>
            </w:tcMar>
          </w:tcPr>
          <w:p>
            <w:pPr>
              <w:spacing w:after="40"/>
            </w:pPr>
            <w:r>
              <w:rPr>
                <w:b/>
                <w:bCs/>
                <w:color w:val="2E7D32"/>
                <w:sz w:val="18"/>
                <w:szCs w:val="18"/>
              </w:rPr>
              <w:t xml:space="preserve">EQUITY AVAILABLE</w:t>
            </w:r>
          </w:p>
          <w:p>
            <w:pPr>
              <w:spacing w:after="0"/>
            </w:pPr>
            <w:r>
              <w:rPr>
                <w:color w:val="2C3E50"/>
                <w:sz w:val="17"/>
                <w:szCs w:val="17"/>
              </w:rPr>
              <w:t xml:space="preserve">HELOC funds care costs. We sell the home, repay the HELOC, and return remaining equity. Independent CPA oversight on all financials.</w:t>
            </w:r>
          </w:p>
        </w:tc>
        <w:tc>
          <w:tcPr>
            <w:tcW w:type="dxa" w:w="3480"/>
            <w:tcBorders>
              <w:top w:val="single" w:color="2E86C1" w:sz="2"/>
              <w:left w:val="single" w:color="2E86C1" w:sz="2"/>
              <w:bottom w:val="single" w:color="2E86C1" w:sz="2"/>
              <w:right w:val="single" w:color="2E86C1" w:sz="2"/>
            </w:tcBorders>
            <w:shd w:fill="E3F2FD" w:val="clear"/>
            <w:tcMar>
              <w:top w:type="dxa" w:w="80"/>
              <w:left w:type="dxa" w:w="100"/>
              <w:bottom w:type="dxa" w:w="80"/>
              <w:right w:type="dxa" w:w="100"/>
            </w:tcMar>
          </w:tcPr>
          <w:p>
            <w:pPr>
              <w:spacing w:after="40"/>
            </w:pPr>
            <w:r>
              <w:rPr>
                <w:b/>
                <w:bCs/>
                <w:color w:val="1565C0"/>
                <w:sz w:val="18"/>
                <w:szCs w:val="18"/>
              </w:rPr>
              <w:t xml:space="preserve">LIMITED EQUITY</w:t>
            </w:r>
          </w:p>
          <w:p>
            <w:pPr>
              <w:spacing w:after="0"/>
            </w:pPr>
            <w:r>
              <w:rPr>
                <w:color w:val="2C3E50"/>
                <w:sz w:val="17"/>
                <w:szCs w:val="17"/>
              </w:rPr>
              <w:t xml:space="preserve">Home sold to fund private-pay care. We map the spend-down timeline and coordinate Medicaid transition before funds run out.</w:t>
            </w:r>
          </w:p>
        </w:tc>
        <w:tc>
          <w:tcPr>
            <w:tcW w:type="dxa" w:w="3480"/>
            <w:tcBorders>
              <w:top w:val="single" w:color="2E86C1" w:sz="2"/>
              <w:left w:val="single" w:color="2E86C1" w:sz="2"/>
              <w:bottom w:val="single" w:color="2E86C1" w:sz="2"/>
              <w:right w:val="single" w:color="2E86C1" w:sz="2"/>
            </w:tcBorders>
            <w:shd w:fill="FFF8E1" w:val="clear"/>
            <w:tcMar>
              <w:top w:type="dxa" w:w="80"/>
              <w:left w:type="dxa" w:w="100"/>
              <w:bottom w:type="dxa" w:w="80"/>
              <w:right w:type="dxa" w:w="100"/>
            </w:tcMar>
          </w:tcPr>
          <w:p>
            <w:pPr>
              <w:spacing w:after="40"/>
            </w:pPr>
            <w:r>
              <w:rPr>
                <w:b/>
                <w:bCs/>
                <w:color w:val="E65100"/>
                <w:sz w:val="18"/>
                <w:szCs w:val="18"/>
              </w:rPr>
              <w:t xml:space="preserve">NO EQUITY / RENTER</w:t>
            </w:r>
          </w:p>
          <w:p>
            <w:pPr>
              <w:spacing w:after="0"/>
            </w:pPr>
            <w:r>
              <w:rPr>
                <w:color w:val="2C3E50"/>
                <w:sz w:val="17"/>
                <w:szCs w:val="17"/>
              </w:rPr>
              <w:t xml:space="preserve">We navigate Medicaid eligibility and place the patient in a quality Medicaid-certified facility. No cost to the family for our services.</w:t>
            </w:r>
          </w:p>
        </w:tc>
      </w:tr>
    </w:tbl>
    <w:p>
      <w:pPr>
        <w:spacing w:before="200" w:after="100"/>
      </w:pPr>
    </w:p>
    <w:p>
      <w:pPr>
        <w:spacing w:after="100"/>
      </w:pPr>
      <w:r>
        <w:rPr>
          <w:b/>
          <w:bCs/>
          <w:color w:val="1B4F72"/>
          <w:sz w:val="22"/>
          <w:szCs w:val="22"/>
        </w:rPr>
        <w:t xml:space="preserve">HOW IT WORKS</w:t>
      </w:r>
    </w:p>
    <w:p>
      <w:pPr>
        <w:pStyle w:val="ListParagraph"/>
        <w:numPr>
          <w:ilvl w:val="0"/>
          <w:numId w:val="2"/>
        </w:numPr>
        <w:spacing w:after="60"/>
      </w:pPr>
      <w:r>
        <w:rPr>
          <w:b/>
          <w:bCs/>
          <w:color w:val="2C3E50"/>
          <w:sz w:val="20"/>
          <w:szCs w:val="20"/>
        </w:rPr>
        <w:t xml:space="preserve">Assessment &amp; Family Consultation</w:t>
      </w:r>
      <w:r>
        <w:rPr>
          <w:color w:val="2C3E50"/>
          <w:sz w:val="20"/>
          <w:szCs w:val="20"/>
        </w:rPr>
        <w:t xml:space="preserve">  —  We meet with the patient and family to assess care needs, evaluate the financial picture, and develop a tailored transition plan.</w:t>
      </w:r>
    </w:p>
    <w:p>
      <w:pPr>
        <w:pStyle w:val="ListParagraph"/>
        <w:numPr>
          <w:ilvl w:val="0"/>
          <w:numId w:val="2"/>
        </w:numPr>
        <w:spacing w:after="60"/>
      </w:pPr>
      <w:r>
        <w:rPr>
          <w:b/>
          <w:bCs/>
          <w:color w:val="2C3E50"/>
          <w:sz w:val="20"/>
          <w:szCs w:val="20"/>
        </w:rPr>
        <w:t xml:space="preserve">Financial Pathway Planning</w:t>
      </w:r>
      <w:r>
        <w:rPr>
          <w:color w:val="2C3E50"/>
          <w:sz w:val="20"/>
          <w:szCs w:val="20"/>
        </w:rPr>
        <w:t xml:space="preserve">  —  Whether it’s a HELOC, a home sale, a Medicaid application, or a combination — we map out the funding strategy and timeline.</w:t>
      </w:r>
    </w:p>
    <w:p>
      <w:pPr>
        <w:pStyle w:val="ListParagraph"/>
        <w:numPr>
          <w:ilvl w:val="0"/>
          <w:numId w:val="2"/>
        </w:numPr>
        <w:spacing w:after="60"/>
      </w:pPr>
      <w:r>
        <w:rPr>
          <w:b/>
          <w:bCs/>
          <w:color w:val="2C3E50"/>
          <w:sz w:val="20"/>
          <w:szCs w:val="20"/>
        </w:rPr>
        <w:t xml:space="preserve">Skilled Nursing Placement &amp; Rehab</w:t>
      </w:r>
      <w:r>
        <w:rPr>
          <w:color w:val="2C3E50"/>
          <w:sz w:val="20"/>
          <w:szCs w:val="20"/>
        </w:rPr>
        <w:t xml:space="preserve">  —  We place the patient in an appropriate SNF, managing intake and coordinating with the care team through recovery.</w:t>
      </w:r>
    </w:p>
    <w:p>
      <w:pPr>
        <w:pStyle w:val="ListParagraph"/>
        <w:numPr>
          <w:ilvl w:val="0"/>
          <w:numId w:val="2"/>
        </w:numPr>
        <w:spacing w:after="60"/>
      </w:pPr>
      <w:r>
        <w:rPr>
          <w:b/>
          <w:bCs/>
          <w:color w:val="2C3E50"/>
          <w:sz w:val="20"/>
          <w:szCs w:val="20"/>
        </w:rPr>
        <w:t xml:space="preserve">Permanent Placement</w:t>
      </w:r>
      <w:r>
        <w:rPr>
          <w:color w:val="2C3E50"/>
          <w:sz w:val="20"/>
          <w:szCs w:val="20"/>
        </w:rPr>
        <w:t xml:space="preserve">  —  Once ambulatory, we transition the patient to independent living, assisted living, or memory care — matched to needs, preferences, and budget.</w:t>
      </w:r>
    </w:p>
    <w:p>
      <w:pPr>
        <w:pStyle w:val="ListParagraph"/>
        <w:numPr>
          <w:ilvl w:val="0"/>
          <w:numId w:val="2"/>
        </w:numPr>
        <w:spacing w:after="60"/>
      </w:pPr>
      <w:r>
        <w:rPr>
          <w:b/>
          <w:bCs/>
          <w:color w:val="2C3E50"/>
          <w:sz w:val="20"/>
          <w:szCs w:val="20"/>
        </w:rPr>
        <w:t xml:space="preserve">Financial Close-Out &amp; Ongoing Support</w:t>
      </w:r>
      <w:r>
        <w:rPr>
          <w:color w:val="2C3E50"/>
          <w:sz w:val="20"/>
          <w:szCs w:val="20"/>
        </w:rPr>
        <w:t xml:space="preserve">  —  We manage the home sale if applicable, coordinate Medicaid transitions, and ensure continuity of care through every milestone.</w:t>
      </w:r>
    </w:p>
    <w:p>
      <w:pPr>
        <w:spacing w:before="120" w:after="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100"/>
        <w:gridCol w:w="5340"/>
      </w:tblGrid>
      <w:tr>
        <w:tc>
          <w:tcPr>
            <w:tcW w:type="dxa" w:w="5100"/>
            <w:tcBorders>
              <w:top w:val="none" w:sz="0"/>
              <w:left w:val="none" w:sz="0"/>
              <w:bottom w:val="none" w:sz="0"/>
              <w:right w:val="none" w:sz="0"/>
            </w:tcBorders>
            <w:tcMar>
              <w:top w:type="dxa" w:w="80"/>
              <w:left w:type="dxa" w:w="100"/>
              <w:bottom w:type="dxa" w:w="80"/>
              <w:right w:type="dxa" w:w="200"/>
            </w:tcMar>
          </w:tcPr>
          <w:p>
            <w:pPr>
              <w:spacing w:after="80"/>
            </w:pPr>
            <w:r>
              <w:rPr>
                <w:b/>
                <w:bCs/>
                <w:color w:val="1B4F72"/>
                <w:sz w:val="22"/>
                <w:szCs w:val="22"/>
              </w:rPr>
              <w:t xml:space="preserve">WHY REFER TO US</w:t>
            </w:r>
          </w:p>
          <w:p>
            <w:pPr>
              <w:pStyle w:val="ListParagraph"/>
              <w:numPr>
                <w:ilvl w:val="0"/>
                <w:numId w:val="3"/>
              </w:numPr>
              <w:spacing w:after="40"/>
            </w:pPr>
            <w:r>
              <w:rPr>
                <w:color w:val="2C3E50"/>
                <w:sz w:val="19"/>
                <w:szCs w:val="19"/>
              </w:rPr>
              <w:t xml:space="preserve">We never turn away a referral — every financial situation gets a plan</w:t>
            </w:r>
          </w:p>
          <w:p>
            <w:pPr>
              <w:pStyle w:val="ListParagraph"/>
              <w:numPr>
                <w:ilvl w:val="0"/>
                <w:numId w:val="3"/>
              </w:numPr>
              <w:spacing w:after="40"/>
            </w:pPr>
            <w:r>
              <w:rPr>
                <w:color w:val="2C3E50"/>
                <w:sz w:val="19"/>
                <w:szCs w:val="19"/>
              </w:rPr>
              <w:t xml:space="preserve">Single point of contact for the entire transition process</w:t>
            </w:r>
          </w:p>
          <w:p>
            <w:pPr>
              <w:pStyle w:val="ListParagraph"/>
              <w:numPr>
                <w:ilvl w:val="0"/>
                <w:numId w:val="3"/>
              </w:numPr>
              <w:spacing w:after="40"/>
            </w:pPr>
            <w:r>
              <w:rPr>
                <w:color w:val="2C3E50"/>
                <w:sz w:val="19"/>
                <w:szCs w:val="19"/>
              </w:rPr>
              <w:t xml:space="preserve">Reduces readmission risk through proper placement matching</w:t>
            </w:r>
          </w:p>
          <w:p>
            <w:pPr>
              <w:pStyle w:val="ListParagraph"/>
              <w:numPr>
                <w:ilvl w:val="0"/>
                <w:numId w:val="3"/>
              </w:numPr>
              <w:spacing w:after="40"/>
            </w:pPr>
            <w:r>
              <w:rPr>
                <w:color w:val="2C3E50"/>
                <w:sz w:val="19"/>
                <w:szCs w:val="19"/>
              </w:rPr>
              <w:t xml:space="preserve">Frees your team to focus on clinical priorities</w:t>
            </w:r>
          </w:p>
          <w:p>
            <w:pPr>
              <w:pStyle w:val="ListParagraph"/>
              <w:numPr>
                <w:ilvl w:val="0"/>
                <w:numId w:val="3"/>
              </w:numPr>
              <w:spacing w:after="40"/>
            </w:pPr>
            <w:r>
              <w:rPr>
                <w:color w:val="2C3E50"/>
                <w:sz w:val="19"/>
                <w:szCs w:val="19"/>
              </w:rPr>
              <w:t xml:space="preserve">No cost to the hospital or discharge team</w:t>
            </w:r>
          </w:p>
        </w:tc>
        <w:tc>
          <w:tcPr>
            <w:tcW w:type="dxa" w:w="5340"/>
            <w:tcBorders>
              <w:top w:val="none" w:sz="0"/>
              <w:left w:val="none" w:sz="0"/>
              <w:bottom w:val="none" w:sz="0"/>
              <w:right w:val="none" w:sz="0"/>
            </w:tcBorders>
            <w:shd w:fill="EBF5FB" w:val="clear"/>
            <w:tcMar>
              <w:top w:type="dxa" w:w="80"/>
              <w:left w:type="dxa" w:w="200"/>
              <w:bottom w:type="dxa" w:w="80"/>
              <w:right w:type="dxa" w:w="100"/>
            </w:tcMar>
          </w:tcPr>
          <w:p>
            <w:pPr>
              <w:spacing w:after="80"/>
            </w:pPr>
            <w:r>
              <w:rPr>
                <w:b/>
                <w:bCs/>
                <w:color w:val="1B4F72"/>
                <w:sz w:val="22"/>
                <w:szCs w:val="22"/>
              </w:rPr>
              <w:t xml:space="preserve">WHAT FAMILIES RECEIVE</w:t>
            </w:r>
          </w:p>
          <w:p>
            <w:pPr>
              <w:pStyle w:val="ListParagraph"/>
              <w:numPr>
                <w:ilvl w:val="0"/>
                <w:numId w:val="3"/>
              </w:numPr>
              <w:spacing w:after="40"/>
            </w:pPr>
            <w:r>
              <w:rPr>
                <w:color w:val="2C3E50"/>
                <w:sz w:val="19"/>
                <w:szCs w:val="19"/>
              </w:rPr>
              <w:t xml:space="preserve">Complete transition management from discharge to permanent placement</w:t>
            </w:r>
          </w:p>
          <w:p>
            <w:pPr>
              <w:pStyle w:val="ListParagraph"/>
              <w:numPr>
                <w:ilvl w:val="0"/>
                <w:numId w:val="3"/>
              </w:numPr>
              <w:spacing w:after="40"/>
            </w:pPr>
            <w:r>
              <w:rPr>
                <w:color w:val="2C3E50"/>
                <w:sz w:val="19"/>
                <w:szCs w:val="19"/>
              </w:rPr>
              <w:t xml:space="preserve">Financial pathway planning — equity, Medicaid, or a combination</w:t>
            </w:r>
          </w:p>
          <w:p>
            <w:pPr>
              <w:pStyle w:val="ListParagraph"/>
              <w:numPr>
                <w:ilvl w:val="0"/>
                <w:numId w:val="3"/>
              </w:numPr>
              <w:spacing w:after="40"/>
            </w:pPr>
            <w:r>
              <w:rPr>
                <w:color w:val="2C3E50"/>
                <w:sz w:val="19"/>
                <w:szCs w:val="19"/>
              </w:rPr>
              <w:t xml:space="preserve">Independent CPA oversight on equity-funded transitions</w:t>
            </w:r>
          </w:p>
          <w:p>
            <w:pPr>
              <w:pStyle w:val="ListParagraph"/>
              <w:numPr>
                <w:ilvl w:val="0"/>
                <w:numId w:val="3"/>
              </w:numPr>
              <w:spacing w:after="40"/>
            </w:pPr>
            <w:r>
              <w:rPr>
                <w:color w:val="2C3E50"/>
                <w:sz w:val="19"/>
                <w:szCs w:val="19"/>
              </w:rPr>
              <w:t xml:space="preserve">Full transparency — all fees disclosed per Colorado law (C.R.S. 6-1-729)</w:t>
            </w:r>
          </w:p>
          <w:p>
            <w:pPr>
              <w:pStyle w:val="ListParagraph"/>
              <w:numPr>
                <w:ilvl w:val="0"/>
                <w:numId w:val="3"/>
              </w:numPr>
              <w:spacing w:after="40"/>
            </w:pPr>
            <w:r>
              <w:rPr>
                <w:color w:val="2C3E50"/>
                <w:sz w:val="19"/>
                <w:szCs w:val="19"/>
              </w:rPr>
              <w:t xml:space="preserve">Licensed real estate broker handling any home sale</w:t>
            </w:r>
          </w:p>
        </w:tc>
      </w:tr>
    </w:tbl>
    <w:p>
      <w:pPr>
        <w:spacing w:before="160" w:after="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sz="0"/>
              <w:left w:val="none" w:sz="0"/>
              <w:bottom w:val="none" w:sz="0"/>
              <w:right w:val="none" w:sz="0"/>
            </w:tcBorders>
            <w:shd w:fill="1B4F72" w:val="clear"/>
            <w:tcMar>
              <w:top w:type="dxa" w:w="120"/>
              <w:left w:type="dxa" w:w="200"/>
              <w:bottom w:type="dxa" w:w="120"/>
              <w:right w:type="dxa" w:w="200"/>
            </w:tcMar>
          </w:tcPr>
          <w:p>
            <w:pPr>
              <w:spacing w:after="40"/>
              <w:jc w:val="center"/>
            </w:pPr>
            <w:r>
              <w:rPr>
                <w:b/>
                <w:bCs/>
                <w:color w:val="FFFFFF"/>
                <w:sz w:val="24"/>
                <w:szCs w:val="24"/>
              </w:rPr>
              <w:t xml:space="preserve">READY TO MAKE A REFERRAL?</w:t>
            </w:r>
          </w:p>
          <w:p>
            <w:pPr>
              <w:spacing w:after="0"/>
              <w:jc w:val="center"/>
            </w:pPr>
            <w:r>
              <w:rPr>
                <w:color w:val="FFFFFF"/>
                <w:sz w:val="20"/>
                <w:szCs w:val="20"/>
              </w:rPr>
              <w:t xml:space="preserve">Call or email Marc Donovan  |  marcdonovan100@yahoo.com  |  [Google Voice #]</w:t>
            </w:r>
          </w:p>
          <w:p>
            <w:pPr>
              <w:spacing w:after="0"/>
              <w:jc w:val="center"/>
            </w:pPr>
            <w:r>
              <w:rPr>
                <w:i/>
                <w:iCs/>
                <w:color w:val="85C1E9"/>
                <w:sz w:val="18"/>
                <w:szCs w:val="18"/>
              </w:rPr>
              <w:t xml:space="preserve">Any patient. Any financial situation. We respond within 2 hours.</w:t>
            </w:r>
          </w:p>
        </w:tc>
      </w:tr>
    </w:tbl>
    <w:sectPr>
      <w:headerReference w:type="default" r:id="rId6"/>
      <w:footerReference w:type="default" r:id="rId7"/>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2E86C1" w:sz="2"/>
            <w:left w:val="none"/>
            <w:bottom w:val="none"/>
            <w:right w:val="none"/>
          </w:tcBorders>
          <w:tcMar>
            <w:top w:type="dxa" w:w="80"/>
            <w:left w:type="dxa" w:w="0"/>
            <w:bottom w:type="dxa" w:w="0"/>
            <w:right w:type="dxa" w:w="0"/>
          </w:tcMar>
        </w:tcPr>
        <w:p>
          <w:pPr>
            <w:jc w:val="center"/>
          </w:pPr>
          <w:r>
            <w:rPr>
              <w:color w:val="5D6D7E"/>
              <w:sz w:val="18"/>
              <w:szCs w:val="18"/>
            </w:rPr>
            <w:t xml:space="preserve">Marc Donovan  |  marcdonovan100@yahoo.com  |  [Google Voice #]</w:t>
          </w:r>
        </w:p>
        <w:p>
          <w:pPr>
            <w:jc w:val="center"/>
          </w:pPr>
          <w:r>
            <w:rPr>
              <w:i/>
              <w:iCs/>
              <w:color w:val="5D6D7E"/>
              <w:sz w:val="16"/>
              <w:szCs w:val="16"/>
            </w:rPr>
            <w:t xml:space="preserve">Serving families statewide across Colorado  |  basecamptransitions.com</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sz="0"/>
            <w:left w:val="none" w:sz="0"/>
            <w:bottom w:val="none" w:sz="0"/>
            <w:right w:val="none" w:sz="0"/>
          </w:tcBorders>
          <w:shd w:fill="1B4F72" w:val="clear"/>
          <w:tcMar>
            <w:top w:type="dxa" w:w="120"/>
            <w:left w:type="dxa" w:w="200"/>
            <w:bottom w:type="dxa" w:w="120"/>
            <w:right w:type="dxa" w:w="200"/>
          </w:tcMar>
        </w:tcPr>
        <w:p>
          <w:pPr>
            <w:spacing w:after="40"/>
            <w:jc w:val="center"/>
          </w:pPr>
          <w:r>
            <w:rPr>
              <w:rFonts w:ascii="Calibri" w:cs="Calibri" w:eastAsia="Calibri" w:hAnsi="Calibri"/>
              <w:b/>
              <w:bCs/>
              <w:color w:val="FFFFFF"/>
              <w:sz w:val="32"/>
              <w:szCs w:val="32"/>
            </w:rPr>
            <w:t xml:space="preserve">BASECAMP TRANSITIONS</w:t>
          </w:r>
        </w:p>
        <w:p>
          <w:pPr>
            <w:spacing w:after="0"/>
            <w:jc w:val="center"/>
          </w:pPr>
          <w:r>
            <w:rPr>
              <w:rFonts w:ascii="Calibri" w:cs="Calibri" w:eastAsia="Calibri" w:hAnsi="Calibri"/>
              <w:i/>
              <w:iCs/>
              <w:color w:val="85C1E9"/>
              <w:sz w:val="22"/>
              <w:szCs w:val="22"/>
            </w:rPr>
            <w:t xml:space="preserve">Senior Care Transition &amp; Placement Services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Calibri" w:cs="Calibri" w:eastAsia="Calibri" w:hAnsi="Calibri"/>
        <w:b/>
        <w:bCs/>
        <w:color w:val="2E86C1"/>
      </w:rPr>
    </w:lvl>
  </w:abstractNum>
  <w:abstractNum w:abstractNumId="3" w15:restartNumberingAfterBreak="0">
    <w:multiLevelType w:val="hybridMultilevel"/>
    <w:lvl w:ilvl="0" w15:tentative="1">
      <w:start w:val="1"/>
      <w:numFmt w:val="decimal"/>
      <w:lvlText w:val="%1."/>
      <w:lvlJc w:val="left"/>
      <w:pPr>
        <w:ind w:left="360" w:hanging="300"/>
      </w:pPr>
      <w:rPr>
        <w:rFonts w:ascii="Calibri" w:cs="Calibri" w:eastAsia="Calibri" w:hAnsi="Calibri"/>
        <w:b/>
        <w:bCs/>
        <w:color w:val="2E86C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2026-02-08T02:41:42.719Z</dcterms:created>
  <dcterms:modified xsi:type="dcterms:W3CDTF">2026-02-08T02:41:42.720Z</dcterms:modified>
</cp:coreProperties>
</file>

<file path=docProps/custom.xml><?xml version="1.0" encoding="utf-8"?>
<Properties xmlns="http://schemas.openxmlformats.org/officeDocument/2006/custom-properties" xmlns:vt="http://schemas.openxmlformats.org/officeDocument/2006/docPropsVTypes"/>
</file>