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DA" w:rsidRDefault="006D7287">
      <w:pPr>
        <w:spacing w:after="168" w:line="226" w:lineRule="auto"/>
        <w:ind w:left="25" w:right="21" w:firstLine="0"/>
        <w:jc w:val="center"/>
      </w:pPr>
      <w:r>
        <w:rPr>
          <w:b/>
          <w:sz w:val="36"/>
        </w:rPr>
        <w:t>Attestation de stage 2ème année – Notice pour les développeurs</w:t>
      </w:r>
    </w:p>
    <w:p w:rsidR="00B83FDA" w:rsidRDefault="006D7287">
      <w:pPr>
        <w:ind w:left="-5"/>
      </w:pPr>
      <w:r>
        <w:t>Voici les activités du référentiel du BTS SIO 2ème année option développeur. Elles vous permettront de compléter la 2e page de l’attestation de stage.</w:t>
      </w:r>
    </w:p>
    <w:tbl>
      <w:tblPr>
        <w:tblStyle w:val="TableGrid"/>
        <w:tblpPr w:vertAnchor="page" w:horzAnchor="page" w:tblpX="1134" w:tblpY="8952"/>
        <w:tblOverlap w:val="never"/>
        <w:tblW w:w="9638" w:type="dxa"/>
        <w:tblInd w:w="0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5758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154"/>
              <w:ind w:left="0" w:firstLine="0"/>
            </w:pPr>
            <w:r>
              <w:rPr>
                <w:rFonts w:ascii="Arial" w:eastAsia="Arial" w:hAnsi="Arial" w:cs="Arial"/>
              </w:rPr>
              <w:t xml:space="preserve">SI7 - </w:t>
            </w:r>
            <w:proofErr w:type="spellStart"/>
            <w:r>
              <w:rPr>
                <w:rFonts w:ascii="Arial" w:eastAsia="Arial" w:hAnsi="Arial" w:cs="Arial"/>
              </w:rPr>
              <w:t>Intégration</w:t>
            </w:r>
            <w:proofErr w:type="spellEnd"/>
            <w:r>
              <w:rPr>
                <w:rFonts w:ascii="Arial" w:eastAsia="Arial" w:hAnsi="Arial" w:cs="Arial"/>
              </w:rPr>
              <w:t xml:space="preserve"> et adaptation d’un service </w:t>
            </w:r>
          </w:p>
          <w:p w:rsidR="00B83FDA" w:rsidRDefault="006D7287">
            <w:pPr>
              <w:spacing w:after="105" w:line="287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Ce module permet de construire les savoirs et savoir-faire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à l’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intégration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d’un service dans l’organisation et à son maintien en condition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opérationnelle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à partir de la mobilisation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complémentaire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des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spécifiques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aux deux option. </w:t>
            </w:r>
          </w:p>
          <w:p w:rsidR="00B83FDA" w:rsidRDefault="006D7287">
            <w:pPr>
              <w:spacing w:after="24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Activités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supports de l’acquisition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</w:p>
          <w:p w:rsidR="00B83FDA" w:rsidRDefault="006D7287">
            <w:pPr>
              <w:spacing w:after="138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D1.1 - Analyse de la demande</w:t>
            </w:r>
          </w:p>
          <w:p w:rsidR="00B83FDA" w:rsidRDefault="006D7287">
            <w:pPr>
              <w:spacing w:after="222" w:line="324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A1.1.2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Étude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l’impact de l’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intégration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 service sur 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système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informatique D1.3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Mise en production d’un service </w:t>
            </w:r>
          </w:p>
          <w:p w:rsidR="00B83FDA" w:rsidRDefault="006D7287">
            <w:pPr>
              <w:numPr>
                <w:ilvl w:val="0"/>
                <w:numId w:val="2"/>
              </w:numPr>
              <w:spacing w:after="268"/>
              <w:ind w:hanging="342"/>
            </w:pPr>
            <w:r>
              <w:rPr>
                <w:rFonts w:ascii="Arial" w:eastAsia="Arial" w:hAnsi="Arial" w:cs="Arial"/>
                <w:sz w:val="18"/>
              </w:rPr>
              <w:t>A1.3.1 Test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intégration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d’acceptation d’un service </w:t>
            </w:r>
          </w:p>
          <w:p w:rsidR="00B83FDA" w:rsidRPr="008867F1" w:rsidRDefault="006D7287">
            <w:pPr>
              <w:numPr>
                <w:ilvl w:val="0"/>
                <w:numId w:val="2"/>
              </w:numPr>
              <w:spacing w:after="267"/>
              <w:ind w:hanging="342"/>
              <w:rPr>
                <w:highlight w:val="yellow"/>
              </w:rPr>
            </w:pP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A1.3.3 Accompagnement de la mise en place d’un nouveau service </w:t>
            </w:r>
          </w:p>
          <w:p w:rsidR="00B83FDA" w:rsidRDefault="006D7287">
            <w:pPr>
              <w:numPr>
                <w:ilvl w:val="0"/>
                <w:numId w:val="2"/>
              </w:numPr>
              <w:spacing w:after="48" w:line="364" w:lineRule="auto"/>
              <w:ind w:hanging="342"/>
            </w:pP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A1.3.4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Déploiement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d’un service</w:t>
            </w:r>
            <w:r>
              <w:rPr>
                <w:rFonts w:ascii="Arial" w:eastAsia="Arial" w:hAnsi="Arial" w:cs="Arial"/>
                <w:sz w:val="18"/>
              </w:rPr>
              <w:t xml:space="preserve"> D1.4 - Travail en mode projet</w:t>
            </w:r>
          </w:p>
          <w:p w:rsidR="00B83FDA" w:rsidRDefault="006D7287">
            <w:pPr>
              <w:spacing w:after="75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D2.1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>Exploitation des services</w:t>
            </w:r>
          </w:p>
          <w:p w:rsidR="00B83FDA" w:rsidRDefault="006D7287">
            <w:pPr>
              <w:spacing w:after="82" w:line="324" w:lineRule="auto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D2.2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incidents et des demandes d’assistance D2.3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problèmes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des changements</w:t>
            </w:r>
          </w:p>
          <w:p w:rsidR="00B83FDA" w:rsidRDefault="006D7287">
            <w:pPr>
              <w:spacing w:after="0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D5.1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configurations </w:t>
            </w:r>
          </w:p>
        </w:tc>
      </w:tr>
    </w:tbl>
    <w:tbl>
      <w:tblPr>
        <w:tblStyle w:val="TableGrid"/>
        <w:tblpPr w:vertAnchor="page" w:horzAnchor="page" w:tblpX="1134" w:tblpY="6418"/>
        <w:tblOverlap w:val="never"/>
        <w:tblW w:w="9638" w:type="dxa"/>
        <w:tblInd w:w="0" w:type="dxa"/>
        <w:tblCellMar>
          <w:top w:w="5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B83FDA">
        <w:trPr>
          <w:trHeight w:val="38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60" w:firstLine="0"/>
              <w:jc w:val="center"/>
            </w:pPr>
            <w:r>
              <w:rPr>
                <w:b/>
              </w:rPr>
              <w:lastRenderedPageBreak/>
              <w:t>Intitulé de la situation professionnelle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Activités du référentiel concernées </w:t>
            </w:r>
          </w:p>
        </w:tc>
      </w:tr>
      <w:tr w:rsidR="00B83FDA">
        <w:trPr>
          <w:trHeight w:val="70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firstLine="0"/>
            </w:pPr>
            <w:r>
              <w:t>Développement d’un site web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A4.1.2 Conception ou adaptation de l’interface utilisateur d’une solution applicative </w:t>
            </w:r>
          </w:p>
        </w:tc>
      </w:tr>
      <w:tr w:rsidR="00B83FDA">
        <w:trPr>
          <w:trHeight w:val="706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firstLine="0"/>
            </w:pPr>
            <w:r>
              <w:t>Prendre en compte un cahier des charges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A1.1.1 Analyse du cahier des charges d’un service à produire</w:t>
            </w:r>
          </w:p>
        </w:tc>
      </w:tr>
      <w:tr w:rsidR="00B83FDA">
        <w:trPr>
          <w:trHeight w:val="458"/>
        </w:trP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firstLine="0"/>
            </w:pPr>
            <w:r>
              <w:t>Création d’une base de données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A4.1.3 Conception ou adaptation d’une base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données</w:t>
            </w:r>
            <w:proofErr w:type="spellEnd"/>
          </w:p>
        </w:tc>
      </w:tr>
    </w:tbl>
    <w:p w:rsidR="00B83FDA" w:rsidRDefault="006D7287">
      <w:pPr>
        <w:ind w:left="-5"/>
      </w:pPr>
      <w:r>
        <w:t>Langages et notions enseignées cette année :  Java, PHP/</w:t>
      </w:r>
      <w:proofErr w:type="spellStart"/>
      <w:r>
        <w:t>Symfony</w:t>
      </w:r>
      <w:proofErr w:type="spellEnd"/>
      <w:r>
        <w:t xml:space="preserve">, Android, Web Service, JQuery, </w:t>
      </w:r>
      <w:proofErr w:type="spellStart"/>
      <w:r>
        <w:t>MySql</w:t>
      </w:r>
      <w:proofErr w:type="spellEnd"/>
      <w:r>
        <w:t>, Debian, ...</w:t>
      </w:r>
    </w:p>
    <w:p w:rsidR="00B83FDA" w:rsidRDefault="006D7287">
      <w:pPr>
        <w:ind w:left="-5"/>
      </w:pPr>
      <w:r>
        <w:t>Les activités sont triées par matière de deuxième année, c’est-à-dire les modules, si7</w:t>
      </w:r>
      <w:r>
        <w:t xml:space="preserve">, </w:t>
      </w:r>
      <w:proofErr w:type="spellStart"/>
      <w:r>
        <w:t>slam</w:t>
      </w:r>
      <w:proofErr w:type="spellEnd"/>
      <w:r>
        <w:t xml:space="preserve"> 3, </w:t>
      </w:r>
      <w:proofErr w:type="spellStart"/>
      <w:r>
        <w:t>slam</w:t>
      </w:r>
      <w:proofErr w:type="spellEnd"/>
      <w:r>
        <w:t xml:space="preserve"> 4, </w:t>
      </w:r>
      <w:proofErr w:type="spellStart"/>
      <w:r>
        <w:t>slam</w:t>
      </w:r>
      <w:proofErr w:type="spellEnd"/>
      <w:r>
        <w:t xml:space="preserve"> 5.</w:t>
      </w:r>
    </w:p>
    <w:p w:rsidR="00B83FDA" w:rsidRDefault="006D7287">
      <w:pPr>
        <w:spacing w:after="0"/>
        <w:ind w:left="-5"/>
      </w:pPr>
      <w:r>
        <w:t>Vous disposez d’un tableau à 2 colonnes :</w:t>
      </w:r>
    </w:p>
    <w:p w:rsidR="00B83FDA" w:rsidRDefault="006D7287">
      <w:pPr>
        <w:numPr>
          <w:ilvl w:val="0"/>
          <w:numId w:val="1"/>
        </w:numPr>
        <w:spacing w:after="6"/>
        <w:ind w:hanging="360"/>
      </w:pPr>
      <w:r>
        <w:t xml:space="preserve">Intitulé de la situation professionnelle </w:t>
      </w:r>
    </w:p>
    <w:p w:rsidR="00B83FDA" w:rsidRDefault="006D7287">
      <w:pPr>
        <w:numPr>
          <w:ilvl w:val="0"/>
          <w:numId w:val="1"/>
        </w:numPr>
        <w:ind w:hanging="360"/>
      </w:pPr>
      <w:r>
        <w:t xml:space="preserve">Activités du référentiel concernées </w:t>
      </w:r>
    </w:p>
    <w:p w:rsidR="00B83FDA" w:rsidRDefault="006D7287">
      <w:pPr>
        <w:ind w:left="-5"/>
      </w:pPr>
      <w:r>
        <w:t xml:space="preserve">Exemple : </w:t>
      </w:r>
      <w:r>
        <w:br w:type="page"/>
      </w:r>
    </w:p>
    <w:tbl>
      <w:tblPr>
        <w:tblStyle w:val="TableGrid"/>
        <w:tblpPr w:vertAnchor="page" w:horzAnchor="page" w:tblpX="1134" w:tblpY="11980"/>
        <w:tblOverlap w:val="never"/>
        <w:tblW w:w="9638" w:type="dxa"/>
        <w:tblInd w:w="0" w:type="dxa"/>
        <w:tblCellMar>
          <w:top w:w="53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292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156"/>
              <w:ind w:lef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SLAM4 - </w:t>
            </w:r>
            <w:proofErr w:type="spellStart"/>
            <w:r>
              <w:rPr>
                <w:rFonts w:ascii="Arial" w:eastAsia="Arial" w:hAnsi="Arial" w:cs="Arial"/>
              </w:rPr>
              <w:t>Réalisation</w:t>
            </w:r>
            <w:proofErr w:type="spellEnd"/>
            <w:r>
              <w:rPr>
                <w:rFonts w:ascii="Arial" w:eastAsia="Arial" w:hAnsi="Arial" w:cs="Arial"/>
              </w:rPr>
              <w:t xml:space="preserve"> et maintenance de composants logiciels </w:t>
            </w:r>
          </w:p>
          <w:p w:rsidR="00B83FDA" w:rsidRDefault="006D7287">
            <w:pPr>
              <w:spacing w:after="103" w:line="287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Ce module aborde les savoirs et savoir-faire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à la mise en œuvre d’environnements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développement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 Il s’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intéresse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notamment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̀ l’utilisation et à l’enrichissement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bibliothèques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composants logiciels et à la programmation, notamment au sein</w:t>
            </w:r>
            <w:r>
              <w:rPr>
                <w:rFonts w:ascii="Arial" w:eastAsia="Arial" w:hAnsi="Arial" w:cs="Arial"/>
                <w:sz w:val="22"/>
              </w:rPr>
              <w:t xml:space="preserve"> d’un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framework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  <w:p w:rsidR="00B83FDA" w:rsidRDefault="006D7287">
            <w:pPr>
              <w:spacing w:after="264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Activités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supports de l’acquisition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spacing w:after="228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D1.1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Analyse de la demande </w:t>
            </w:r>
          </w:p>
          <w:p w:rsidR="00B83FDA" w:rsidRDefault="006D7287">
            <w:pPr>
              <w:spacing w:after="0"/>
              <w:ind w:left="424" w:firstLine="0"/>
            </w:pPr>
            <w:r>
              <w:rPr>
                <w:rFonts w:ascii="OpenSymbol" w:eastAsia="OpenSymbol" w:hAnsi="OpenSymbol" w:cs="OpenSymbol"/>
              </w:rPr>
              <w:t>•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A1.1.1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Analyse du cahier des charges d’un service à produire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tbl>
      <w:tblPr>
        <w:tblStyle w:val="TableGrid"/>
        <w:tblpPr w:vertAnchor="text" w:tblpX="-2"/>
        <w:tblOverlap w:val="never"/>
        <w:tblW w:w="9638" w:type="dxa"/>
        <w:tblInd w:w="0" w:type="dxa"/>
        <w:tblCellMar>
          <w:top w:w="110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324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Pr="008867F1" w:rsidRDefault="006D7287">
            <w:pPr>
              <w:numPr>
                <w:ilvl w:val="0"/>
                <w:numId w:val="3"/>
              </w:numPr>
              <w:spacing w:after="268"/>
              <w:ind w:hanging="282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A5.1.1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Mise en place d’une gestion de configuration </w:t>
            </w:r>
          </w:p>
          <w:p w:rsidR="00B83FDA" w:rsidRDefault="006D7287">
            <w:pPr>
              <w:numPr>
                <w:ilvl w:val="0"/>
                <w:numId w:val="3"/>
              </w:numPr>
              <w:spacing w:after="268"/>
              <w:ind w:hanging="282"/>
            </w:pPr>
            <w:r>
              <w:rPr>
                <w:rFonts w:ascii="Arial" w:eastAsia="Arial" w:hAnsi="Arial" w:cs="Arial"/>
                <w:sz w:val="18"/>
              </w:rPr>
              <w:t xml:space="preserve">A5.1.2 Recueil d’information sur une configuration et 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3"/>
              </w:numPr>
              <w:spacing w:after="268"/>
              <w:ind w:hanging="282"/>
            </w:pPr>
            <w:r>
              <w:rPr>
                <w:rFonts w:ascii="Arial" w:eastAsia="Arial" w:hAnsi="Arial" w:cs="Arial"/>
                <w:sz w:val="18"/>
              </w:rPr>
              <w:t xml:space="preserve">A5.1.3 Suivi d’une configuration et de 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3"/>
              </w:numPr>
              <w:spacing w:after="267"/>
              <w:ind w:hanging="282"/>
            </w:pPr>
            <w:r>
              <w:rPr>
                <w:rFonts w:ascii="Arial" w:eastAsia="Arial" w:hAnsi="Arial" w:cs="Arial"/>
                <w:sz w:val="18"/>
              </w:rPr>
              <w:t xml:space="preserve">A5.1.5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Évaluation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configuration ou d’une configuration </w:t>
            </w:r>
          </w:p>
          <w:p w:rsidR="00B83FDA" w:rsidRDefault="006D7287">
            <w:pPr>
              <w:numPr>
                <w:ilvl w:val="0"/>
                <w:numId w:val="3"/>
              </w:numPr>
              <w:spacing w:after="155"/>
              <w:ind w:hanging="282"/>
            </w:pPr>
            <w:r>
              <w:rPr>
                <w:rFonts w:ascii="Arial" w:eastAsia="Arial" w:hAnsi="Arial" w:cs="Arial"/>
                <w:sz w:val="18"/>
              </w:rPr>
              <w:t xml:space="preserve">A5.1.6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Évaluation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d'un investissement informatique D5.2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A5.2.3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Repérage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formation ou d’auto-formation utiles à l’acquisition de nouvelles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B83FDA" w:rsidRDefault="00B83FDA">
      <w:pPr>
        <w:spacing w:after="3022"/>
        <w:ind w:left="-1136" w:right="10769" w:firstLine="0"/>
      </w:pPr>
    </w:p>
    <w:tbl>
      <w:tblPr>
        <w:tblStyle w:val="TableGrid"/>
        <w:tblW w:w="9638" w:type="dxa"/>
        <w:tblInd w:w="-2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704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141"/>
              <w:ind w:lef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SLAM3 </w:t>
            </w:r>
            <w:r>
              <w:t xml:space="preserve">– </w:t>
            </w:r>
            <w:r>
              <w:rPr>
                <w:rFonts w:ascii="Arial" w:eastAsia="Arial" w:hAnsi="Arial" w:cs="Arial"/>
              </w:rPr>
              <w:t xml:space="preserve">Conception et adaptation d’une base de </w:t>
            </w:r>
            <w:proofErr w:type="spellStart"/>
            <w:r>
              <w:rPr>
                <w:rFonts w:ascii="Arial" w:eastAsia="Arial" w:hAnsi="Arial" w:cs="Arial"/>
              </w:rPr>
              <w:t>données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B83FDA" w:rsidRDefault="006D7287">
            <w:pPr>
              <w:spacing w:after="142" w:line="287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Ce module aborde les savoirs et savoir-faire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à la conception et à l’adaptation d’une base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données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et à la mise en œuvre des outils de programmation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associés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  <w:p w:rsidR="00B83FDA" w:rsidRDefault="006D7287">
            <w:pPr>
              <w:spacing w:after="106" w:line="287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>Le recours à un langage de programmation associé à un SGBD permet d’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implémenter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les concepts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abordés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, notamment les contraintes. </w:t>
            </w:r>
          </w:p>
          <w:p w:rsidR="00B83FDA" w:rsidRDefault="006D7287">
            <w:pPr>
              <w:spacing w:after="24"/>
              <w:ind w:left="0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Activités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supports de l’acquisition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</w:p>
          <w:p w:rsidR="00B83FDA" w:rsidRDefault="006D7287">
            <w:pPr>
              <w:spacing w:after="24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D1.1 - Analyse de la demande</w:t>
            </w:r>
          </w:p>
          <w:p w:rsidR="00B83FDA" w:rsidRDefault="006D7287">
            <w:pPr>
              <w:spacing w:after="164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A1.1.1 Analyse du cahier des charges d'un service à produire D1.2 - Choix d’une solution </w:t>
            </w:r>
          </w:p>
          <w:p w:rsidR="00B83FDA" w:rsidRDefault="006D7287">
            <w:pPr>
              <w:spacing w:after="277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A1.2.1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Élaboration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présentation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 dossier de choix de solution technique </w:t>
            </w:r>
          </w:p>
          <w:p w:rsidR="00B83FDA" w:rsidRDefault="006D7287">
            <w:pPr>
              <w:numPr>
                <w:ilvl w:val="0"/>
                <w:numId w:val="4"/>
              </w:numPr>
              <w:spacing w:after="0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A1.2.2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Rédaction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spécifications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techniques de la solution retenue D2.1 - Exploitation des services</w:t>
            </w:r>
          </w:p>
          <w:p w:rsidR="00B83FDA" w:rsidRDefault="006D7287">
            <w:pPr>
              <w:spacing w:after="24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D2.3 - 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problèmes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des changements</w:t>
            </w:r>
          </w:p>
          <w:p w:rsidR="00B83FDA" w:rsidRDefault="006D7287">
            <w:pPr>
              <w:spacing w:after="276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>D4.1 - Conception et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solution applicative </w:t>
            </w:r>
          </w:p>
          <w:p w:rsidR="00B83FDA" w:rsidRPr="008867F1" w:rsidRDefault="006D7287">
            <w:pPr>
              <w:numPr>
                <w:ilvl w:val="0"/>
                <w:numId w:val="4"/>
              </w:numPr>
              <w:spacing w:after="267"/>
              <w:ind w:hanging="342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A4.1.1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Proposition d’une solution applicative </w:t>
            </w:r>
          </w:p>
          <w:p w:rsidR="00B83FDA" w:rsidRDefault="006D7287">
            <w:pPr>
              <w:numPr>
                <w:ilvl w:val="0"/>
                <w:numId w:val="4"/>
              </w:numPr>
              <w:spacing w:after="256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A4.1.3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Conception ou adaptation d’une base de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données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D4.2 - Maintenance d’une solution applicative </w:t>
            </w:r>
          </w:p>
          <w:p w:rsidR="00B83FDA" w:rsidRDefault="006D7287">
            <w:pPr>
              <w:spacing w:after="231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A4.2.2 - Adaptation d’une solution applicative 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</w:t>
            </w:r>
            <w:r>
              <w:rPr>
                <w:rFonts w:ascii="Arial" w:eastAsia="Arial" w:hAnsi="Arial" w:cs="Arial"/>
                <w:sz w:val="18"/>
              </w:rPr>
              <w:t xml:space="preserve"> ses composants D5.2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4"/>
              </w:numPr>
              <w:spacing w:after="268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A5.2.1 Exploitation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référentiels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normes et standards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adoptés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par le prestataire informatique </w:t>
            </w:r>
          </w:p>
          <w:p w:rsidR="00B83FDA" w:rsidRDefault="006D7287">
            <w:pPr>
              <w:numPr>
                <w:ilvl w:val="0"/>
                <w:numId w:val="4"/>
              </w:numPr>
              <w:spacing w:after="0"/>
              <w:ind w:hanging="342"/>
            </w:pPr>
            <w:r>
              <w:rPr>
                <w:rFonts w:ascii="Arial" w:eastAsia="Arial" w:hAnsi="Arial" w:cs="Arial"/>
                <w:sz w:val="18"/>
              </w:rPr>
              <w:t>A5.2.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4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Étude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d'une technologie d'un composant, d'un outil ou d'une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méthode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1134" w:tblpY="12198"/>
        <w:tblOverlap w:val="never"/>
        <w:tblW w:w="9638" w:type="dxa"/>
        <w:tblInd w:w="0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250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141"/>
              <w:ind w:left="0" w:firstLine="0"/>
            </w:pPr>
            <w:r>
              <w:rPr>
                <w:rFonts w:ascii="Arial" w:eastAsia="Arial" w:hAnsi="Arial" w:cs="Arial"/>
              </w:rPr>
              <w:t xml:space="preserve">SLAM5 </w:t>
            </w:r>
            <w:r>
              <w:t xml:space="preserve">– </w:t>
            </w:r>
            <w:r>
              <w:rPr>
                <w:rFonts w:ascii="Arial" w:eastAsia="Arial" w:hAnsi="Arial" w:cs="Arial"/>
              </w:rPr>
              <w:t xml:space="preserve">Conception et adaptation de solutions applicatives </w:t>
            </w:r>
          </w:p>
          <w:p w:rsidR="00B83FDA" w:rsidRDefault="006D7287">
            <w:pPr>
              <w:spacing w:after="102" w:line="288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Ce module aborde les savoirs et savoirs faire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liés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à la participation à des projets de conception d</w:t>
            </w:r>
            <w:r>
              <w:t>’</w:t>
            </w:r>
            <w:r>
              <w:rPr>
                <w:rFonts w:ascii="Arial" w:eastAsia="Arial" w:hAnsi="Arial" w:cs="Arial"/>
                <w:sz w:val="22"/>
              </w:rPr>
              <w:t xml:space="preserve">une solution applicative ainsi qu’aux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activités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 maintien en condition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opérationnelle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des service</w:t>
            </w:r>
            <w:r>
              <w:rPr>
                <w:rFonts w:ascii="Arial" w:eastAsia="Arial" w:hAnsi="Arial" w:cs="Arial"/>
                <w:sz w:val="22"/>
              </w:rPr>
              <w:t xml:space="preserve">s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associés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et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réponse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aux besoins d’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évolution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. </w:t>
            </w:r>
          </w:p>
          <w:p w:rsidR="00B83FDA" w:rsidRDefault="006D7287">
            <w:pPr>
              <w:spacing w:after="0" w:line="288" w:lineRule="auto"/>
              <w:ind w:left="0" w:right="2525" w:firstLine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Activités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supports de l’acquisition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D1.1 - Analyse de la demande D1.2 - Choix d’une solution</w:t>
            </w:r>
          </w:p>
          <w:p w:rsidR="00B83FDA" w:rsidRDefault="006D7287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D1.3 - Mise en production d’un service </w:t>
            </w:r>
          </w:p>
        </w:tc>
      </w:tr>
    </w:tbl>
    <w:tbl>
      <w:tblPr>
        <w:tblStyle w:val="TableGrid"/>
        <w:tblpPr w:vertAnchor="text" w:tblpX="-2"/>
        <w:tblOverlap w:val="never"/>
        <w:tblW w:w="9638" w:type="dxa"/>
        <w:tblInd w:w="0" w:type="dxa"/>
        <w:tblCellMar>
          <w:top w:w="109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1078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numPr>
                <w:ilvl w:val="0"/>
                <w:numId w:val="5"/>
              </w:numPr>
              <w:spacing w:after="109"/>
              <w:ind w:hanging="344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A1.1.2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Étude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l’impact de l’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intégration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 service sur 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système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informatique D1.2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>Choix d’une solution</w:t>
            </w:r>
          </w:p>
          <w:p w:rsidR="00B83FDA" w:rsidRDefault="006D7287">
            <w:pPr>
              <w:spacing w:after="230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D1.3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Mise en production d’un service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7"/>
              <w:ind w:hanging="344"/>
            </w:pPr>
            <w:r>
              <w:rPr>
                <w:rFonts w:ascii="Arial" w:eastAsia="Arial" w:hAnsi="Arial" w:cs="Arial"/>
                <w:sz w:val="18"/>
              </w:rPr>
              <w:t>A1.3.1 Test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intégration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acceptation d’un service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0" w:line="365" w:lineRule="auto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A1.3.3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Accompagnement de la mise en place d’un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nouveau service</w:t>
            </w:r>
            <w:r>
              <w:rPr>
                <w:rFonts w:ascii="Arial" w:eastAsia="Arial" w:hAnsi="Arial" w:cs="Arial"/>
                <w:sz w:val="18"/>
              </w:rPr>
              <w:t xml:space="preserve"> D2.3 - 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problèmes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des changements</w:t>
            </w:r>
          </w:p>
          <w:p w:rsidR="00B83FDA" w:rsidRDefault="006D7287">
            <w:pPr>
              <w:spacing w:after="278"/>
              <w:ind w:left="706" w:firstLine="0"/>
            </w:pPr>
            <w:r>
              <w:rPr>
                <w:rFonts w:ascii="Arial" w:eastAsia="Arial" w:hAnsi="Arial" w:cs="Arial"/>
                <w:sz w:val="18"/>
              </w:rPr>
              <w:t xml:space="preserve">D4.1 - Conception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solution applicative </w:t>
            </w:r>
          </w:p>
          <w:p w:rsidR="00B83FDA" w:rsidRPr="008867F1" w:rsidRDefault="006D7287">
            <w:pPr>
              <w:numPr>
                <w:ilvl w:val="0"/>
                <w:numId w:val="5"/>
              </w:numPr>
              <w:spacing w:after="267"/>
              <w:ind w:hanging="344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A4.1.1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Proposition d’une solution applicative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7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A4.1.2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Conception ou adaptation de l’interface utilisateur d’une solution applicative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A4.1.4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Définition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caractéristiques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solution applicative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7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A4.1.6 Gestion d’environnements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développement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 test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A4.1.7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Développement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utilisation ou adaptation de composants logiciels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A4.1.8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tests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nécessaires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à la validation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adaptés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développés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Pr="008867F1" w:rsidRDefault="006D7287">
            <w:pPr>
              <w:numPr>
                <w:ilvl w:val="0"/>
                <w:numId w:val="5"/>
              </w:numPr>
              <w:spacing w:after="268"/>
              <w:ind w:hanging="344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A4.1.9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Rédaction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d’une documentation technique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>A4.1.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10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Rédaction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d’une documenta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tion d’utilisation</w:t>
            </w:r>
            <w:r>
              <w:rPr>
                <w:rFonts w:ascii="Arial" w:eastAsia="Arial" w:hAnsi="Arial" w:cs="Arial"/>
                <w:sz w:val="18"/>
              </w:rPr>
              <w:t xml:space="preserve"> D4.2 - Maintenance d’une solution applicative </w:t>
            </w:r>
          </w:p>
          <w:p w:rsidR="00B83FDA" w:rsidRPr="008867F1" w:rsidRDefault="006D7287">
            <w:pPr>
              <w:numPr>
                <w:ilvl w:val="0"/>
                <w:numId w:val="5"/>
              </w:numPr>
              <w:spacing w:after="0"/>
              <w:ind w:hanging="344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A4.2.1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Analyse et correction d’un dysfonctionnement, d’un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problème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de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qualite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́ de service ou de </w:t>
            </w:r>
          </w:p>
          <w:p w:rsidR="00B83FDA" w:rsidRDefault="006D7287">
            <w:pPr>
              <w:spacing w:after="278"/>
              <w:ind w:left="1414" w:firstLine="0"/>
            </w:pPr>
            <w:proofErr w:type="spellStart"/>
            <w:proofErr w:type="gram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sécurite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́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A4.2.2 Adaptation d’une solution applicative aux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évolutions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ses composants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68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A4.2.3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tests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nécessaires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à la mise en production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mis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̀ jour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255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A4.2.4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Mise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a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̀ jour d’une documentation technique</w:t>
            </w:r>
            <w:r>
              <w:rPr>
                <w:rFonts w:ascii="Arial" w:eastAsia="Arial" w:hAnsi="Arial" w:cs="Arial"/>
                <w:sz w:val="18"/>
              </w:rPr>
              <w:t xml:space="preserve"> D5.1 - Gestion des configurations </w:t>
            </w:r>
          </w:p>
          <w:p w:rsidR="00B83FDA" w:rsidRDefault="006D7287">
            <w:pPr>
              <w:spacing w:after="229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A5.1.3 Suivi d’une configuration et de 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D5.2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1" w:line="475" w:lineRule="auto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A5.2.1 Exploitation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référentiels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normes et standards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adoptés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par le prestataire informatique </w:t>
            </w:r>
            <w:r>
              <w:rPr>
                <w:rFonts w:ascii="OpenSymbol" w:eastAsia="OpenSymbol" w:hAnsi="OpenSymbol" w:cs="OpenSymbol"/>
              </w:rPr>
              <w:t>•</w:t>
            </w:r>
            <w:r>
              <w:t xml:space="preserve"> </w:t>
            </w:r>
            <w:r>
              <w:rPr>
                <w:rFonts w:ascii="Arial" w:eastAsia="Arial" w:hAnsi="Arial" w:cs="Arial"/>
                <w:sz w:val="18"/>
              </w:rPr>
              <w:t xml:space="preserve">A5.2.2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Veille technologique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5"/>
              </w:numPr>
              <w:spacing w:after="0"/>
              <w:ind w:hanging="344"/>
            </w:pPr>
            <w:r>
              <w:rPr>
                <w:rFonts w:ascii="Arial" w:eastAsia="Arial" w:hAnsi="Arial" w:cs="Arial"/>
                <w:sz w:val="18"/>
              </w:rPr>
              <w:t xml:space="preserve">A5.2.4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Étude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d'une technologie d'un composant, d'un outil ou d'une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méthode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B83FDA" w:rsidRDefault="006D7287">
      <w:pPr>
        <w:spacing w:after="0"/>
        <w:ind w:left="-1136" w:right="10769" w:firstLine="0"/>
      </w:pPr>
      <w:r>
        <w:br w:type="page"/>
      </w:r>
    </w:p>
    <w:p w:rsidR="00B83FDA" w:rsidRDefault="00B83FDA">
      <w:pPr>
        <w:spacing w:after="0"/>
        <w:ind w:left="-1136" w:right="10769" w:firstLine="0"/>
      </w:pPr>
    </w:p>
    <w:tbl>
      <w:tblPr>
        <w:tblStyle w:val="TableGrid"/>
        <w:tblW w:w="9638" w:type="dxa"/>
        <w:tblInd w:w="-2" w:type="dxa"/>
        <w:tblCellMar>
          <w:top w:w="5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3FDA">
        <w:trPr>
          <w:trHeight w:val="757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3FDA" w:rsidRDefault="006D7287">
            <w:pPr>
              <w:spacing w:after="24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A1.3.1 Test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in</w:t>
            </w:r>
            <w:r>
              <w:rPr>
                <w:rFonts w:ascii="Arial" w:eastAsia="Arial" w:hAnsi="Arial" w:cs="Arial"/>
                <w:sz w:val="18"/>
              </w:rPr>
              <w:t>tégration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d’acceptation d’un service D1.4 - Travail en mode projet</w:t>
            </w:r>
          </w:p>
          <w:p w:rsidR="00B83FDA" w:rsidRDefault="006D7287">
            <w:pPr>
              <w:spacing w:after="164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D2.2 - Gestion des incidents et des demandes d’assistance D2.3 - 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problèmes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des changements </w:t>
            </w:r>
          </w:p>
          <w:p w:rsidR="00B83FDA" w:rsidRDefault="006D7287">
            <w:pPr>
              <w:spacing w:after="276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D4.1 - Conception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solution applicative </w:t>
            </w:r>
          </w:p>
          <w:p w:rsidR="00B83FDA" w:rsidRPr="008867F1" w:rsidRDefault="006D7287">
            <w:pPr>
              <w:numPr>
                <w:ilvl w:val="0"/>
                <w:numId w:val="6"/>
              </w:numPr>
              <w:spacing w:after="267"/>
              <w:ind w:hanging="342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A4.1.1 -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Proposition d’une solution applicative </w:t>
            </w:r>
          </w:p>
          <w:p w:rsidR="00B83FDA" w:rsidRPr="008867F1" w:rsidRDefault="006D7287">
            <w:pPr>
              <w:numPr>
                <w:ilvl w:val="0"/>
                <w:numId w:val="6"/>
              </w:numPr>
              <w:spacing w:after="266"/>
              <w:ind w:hanging="342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A4.1.2 - 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Conception ou adaptation de l’interface utilisateur d’une solution applicative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4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A4.1.4 </w:t>
            </w:r>
            <w:r>
              <w:t xml:space="preserve">–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Définition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caractéristiques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d’une solution applicative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6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A4.1.5 </w:t>
            </w:r>
            <w:r>
              <w:t xml:space="preserve">– </w:t>
            </w:r>
            <w:r>
              <w:rPr>
                <w:rFonts w:ascii="Arial" w:eastAsia="Arial" w:hAnsi="Arial" w:cs="Arial"/>
                <w:sz w:val="18"/>
              </w:rPr>
              <w:t xml:space="preserve">Prototypage de composants logiciels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7"/>
              <w:ind w:hanging="342"/>
            </w:pPr>
            <w:r>
              <w:rPr>
                <w:rFonts w:ascii="Arial" w:eastAsia="Arial" w:hAnsi="Arial" w:cs="Arial"/>
                <w:sz w:val="18"/>
              </w:rPr>
              <w:t>A</w:t>
            </w:r>
            <w:r>
              <w:rPr>
                <w:rFonts w:ascii="Arial" w:eastAsia="Arial" w:hAnsi="Arial" w:cs="Arial"/>
                <w:sz w:val="18"/>
              </w:rPr>
              <w:t xml:space="preserve">4.1.6 - Gestion d’environnements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développement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 test </w:t>
            </w:r>
          </w:p>
          <w:p w:rsidR="00B83FDA" w:rsidRPr="008867F1" w:rsidRDefault="006D7287">
            <w:pPr>
              <w:numPr>
                <w:ilvl w:val="0"/>
                <w:numId w:val="6"/>
              </w:numPr>
              <w:spacing w:after="268"/>
              <w:ind w:hanging="342"/>
              <w:rPr>
                <w:highlight w:val="yellow"/>
              </w:rPr>
            </w:pPr>
            <w:r>
              <w:rPr>
                <w:rFonts w:ascii="Arial" w:eastAsia="Arial" w:hAnsi="Arial" w:cs="Arial"/>
                <w:sz w:val="18"/>
              </w:rPr>
              <w:t xml:space="preserve">A4.1.7 -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Développement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, utilisation ou adaptation de composants logiciels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8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A4.1.8 -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Réalisation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tests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nécessaires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à la validation d’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adaptés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développés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183" w:line="367" w:lineRule="auto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A4.1.9 - </w:t>
            </w:r>
            <w:proofErr w:type="spellStart"/>
            <w:r w:rsidRPr="008867F1">
              <w:rPr>
                <w:rFonts w:ascii="Arial" w:eastAsia="Arial" w:hAnsi="Arial" w:cs="Arial"/>
                <w:sz w:val="18"/>
                <w:highlight w:val="yellow"/>
              </w:rPr>
              <w:t>Rédact</w:t>
            </w:r>
            <w:r w:rsidRPr="008867F1">
              <w:rPr>
                <w:rFonts w:ascii="Arial" w:eastAsia="Arial" w:hAnsi="Arial" w:cs="Arial"/>
                <w:sz w:val="18"/>
                <w:highlight w:val="yellow"/>
              </w:rPr>
              <w:t>ion</w:t>
            </w:r>
            <w:proofErr w:type="spellEnd"/>
            <w:r w:rsidRPr="008867F1">
              <w:rPr>
                <w:rFonts w:ascii="Arial" w:eastAsia="Arial" w:hAnsi="Arial" w:cs="Arial"/>
                <w:sz w:val="18"/>
                <w:highlight w:val="yellow"/>
              </w:rPr>
              <w:t xml:space="preserve"> d’une documentation technique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 xml:space="preserve"> D4.2 - Maintenance d’une solution applicative D5.1 - Gestion des configurations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7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A5.1.3 Suivi d'une configuration et de ses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7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A5.1.4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Étude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propositions de contrat de service (client, fournisseur)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268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A5.1.5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Évaluation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d'un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élément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configuration ou d'une configuration </w:t>
            </w:r>
          </w:p>
          <w:p w:rsidR="00B83FDA" w:rsidRDefault="006D7287">
            <w:pPr>
              <w:numPr>
                <w:ilvl w:val="0"/>
                <w:numId w:val="6"/>
              </w:numPr>
              <w:spacing w:after="0"/>
              <w:ind w:hanging="342"/>
            </w:pPr>
            <w:r>
              <w:rPr>
                <w:rFonts w:ascii="Arial" w:eastAsia="Arial" w:hAnsi="Arial" w:cs="Arial"/>
                <w:sz w:val="18"/>
              </w:rPr>
              <w:t xml:space="preserve">A5.1.6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Évaluation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d'un investissement informatique D5.2 - Gestion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compétences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6D7287" w:rsidRDefault="006D7287"/>
    <w:sectPr w:rsidR="006D7287">
      <w:footerReference w:type="even" r:id="rId7"/>
      <w:footerReference w:type="default" r:id="rId8"/>
      <w:footerReference w:type="first" r:id="rId9"/>
      <w:pgSz w:w="11900" w:h="16840"/>
      <w:pgMar w:top="1135" w:right="1131" w:bottom="1936" w:left="1136" w:header="720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287" w:rsidRDefault="006D7287">
      <w:pPr>
        <w:spacing w:after="0" w:line="240" w:lineRule="auto"/>
      </w:pPr>
      <w:r>
        <w:separator/>
      </w:r>
    </w:p>
  </w:endnote>
  <w:endnote w:type="continuationSeparator" w:id="0">
    <w:p w:rsidR="006D7287" w:rsidRDefault="006D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FDA" w:rsidRDefault="006D7287">
    <w:pPr>
      <w:tabs>
        <w:tab w:val="right" w:pos="9633"/>
      </w:tabs>
      <w:spacing w:after="0"/>
      <w:ind w:left="0" w:right="-5" w:firstLine="0"/>
    </w:pPr>
    <w:r>
      <w:rPr>
        <w:sz w:val="20"/>
      </w:rPr>
      <w:t>Attestation de stage – no</w:t>
    </w:r>
    <w:r>
      <w:rPr>
        <w:sz w:val="20"/>
      </w:rPr>
      <w:t xml:space="preserve">tice développeur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FDA" w:rsidRDefault="006D7287">
    <w:pPr>
      <w:tabs>
        <w:tab w:val="right" w:pos="9633"/>
      </w:tabs>
      <w:spacing w:after="0"/>
      <w:ind w:left="0" w:right="-5" w:firstLine="0"/>
    </w:pPr>
    <w:r>
      <w:rPr>
        <w:sz w:val="20"/>
      </w:rPr>
      <w:t xml:space="preserve">Attestation de stage – notice développeur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67F1" w:rsidRPr="008867F1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8867F1" w:rsidRPr="008867F1">
      <w:rPr>
        <w:noProof/>
        <w:sz w:val="20"/>
      </w:rPr>
      <w:t>6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FDA" w:rsidRDefault="006D7287">
    <w:pPr>
      <w:tabs>
        <w:tab w:val="right" w:pos="9633"/>
      </w:tabs>
      <w:spacing w:after="0"/>
      <w:ind w:left="0" w:right="-5" w:firstLine="0"/>
    </w:pPr>
    <w:r>
      <w:rPr>
        <w:sz w:val="20"/>
      </w:rPr>
      <w:t xml:space="preserve">Attestation de stage – notice développeur 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287" w:rsidRDefault="006D7287">
      <w:pPr>
        <w:spacing w:after="0" w:line="240" w:lineRule="auto"/>
      </w:pPr>
      <w:r>
        <w:separator/>
      </w:r>
    </w:p>
  </w:footnote>
  <w:footnote w:type="continuationSeparator" w:id="0">
    <w:p w:rsidR="006D7287" w:rsidRDefault="006D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0B8"/>
    <w:multiLevelType w:val="hybridMultilevel"/>
    <w:tmpl w:val="D070FD54"/>
    <w:lvl w:ilvl="0" w:tplc="465A770A">
      <w:start w:val="1"/>
      <w:numFmt w:val="bullet"/>
      <w:lvlText w:val="•"/>
      <w:lvlJc w:val="left"/>
      <w:pPr>
        <w:ind w:left="1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E12E">
      <w:start w:val="1"/>
      <w:numFmt w:val="bullet"/>
      <w:lvlText w:val="o"/>
      <w:lvlJc w:val="left"/>
      <w:pPr>
        <w:ind w:left="20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BA9A22">
      <w:start w:val="1"/>
      <w:numFmt w:val="bullet"/>
      <w:lvlText w:val="▪"/>
      <w:lvlJc w:val="left"/>
      <w:pPr>
        <w:ind w:left="27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AE1D6">
      <w:start w:val="1"/>
      <w:numFmt w:val="bullet"/>
      <w:lvlText w:val="•"/>
      <w:lvlJc w:val="left"/>
      <w:pPr>
        <w:ind w:left="3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5E82E2">
      <w:start w:val="1"/>
      <w:numFmt w:val="bullet"/>
      <w:lvlText w:val="o"/>
      <w:lvlJc w:val="left"/>
      <w:pPr>
        <w:ind w:left="42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0B87E">
      <w:start w:val="1"/>
      <w:numFmt w:val="bullet"/>
      <w:lvlText w:val="▪"/>
      <w:lvlJc w:val="left"/>
      <w:pPr>
        <w:ind w:left="49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276B4">
      <w:start w:val="1"/>
      <w:numFmt w:val="bullet"/>
      <w:lvlText w:val="•"/>
      <w:lvlJc w:val="left"/>
      <w:pPr>
        <w:ind w:left="5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22988">
      <w:start w:val="1"/>
      <w:numFmt w:val="bullet"/>
      <w:lvlText w:val="o"/>
      <w:lvlJc w:val="left"/>
      <w:pPr>
        <w:ind w:left="63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C8264">
      <w:start w:val="1"/>
      <w:numFmt w:val="bullet"/>
      <w:lvlText w:val="▪"/>
      <w:lvlJc w:val="left"/>
      <w:pPr>
        <w:ind w:left="71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93B2D"/>
    <w:multiLevelType w:val="hybridMultilevel"/>
    <w:tmpl w:val="DAAEE198"/>
    <w:lvl w:ilvl="0" w:tplc="464403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C4B974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E1D5C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24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A6D644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56548A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CD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E654C6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C2198C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C2580"/>
    <w:multiLevelType w:val="hybridMultilevel"/>
    <w:tmpl w:val="C9322D7C"/>
    <w:lvl w:ilvl="0" w:tplc="719E2742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80920">
      <w:start w:val="1"/>
      <w:numFmt w:val="bullet"/>
      <w:lvlText w:val="o"/>
      <w:lvlJc w:val="left"/>
      <w:pPr>
        <w:ind w:left="156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40C142">
      <w:start w:val="1"/>
      <w:numFmt w:val="bullet"/>
      <w:lvlText w:val="▪"/>
      <w:lvlJc w:val="left"/>
      <w:pPr>
        <w:ind w:left="22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4A8FEA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815B6">
      <w:start w:val="1"/>
      <w:numFmt w:val="bullet"/>
      <w:lvlText w:val="o"/>
      <w:lvlJc w:val="left"/>
      <w:pPr>
        <w:ind w:left="372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66A3E">
      <w:start w:val="1"/>
      <w:numFmt w:val="bullet"/>
      <w:lvlText w:val="▪"/>
      <w:lvlJc w:val="left"/>
      <w:pPr>
        <w:ind w:left="444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0FC32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E3430">
      <w:start w:val="1"/>
      <w:numFmt w:val="bullet"/>
      <w:lvlText w:val="o"/>
      <w:lvlJc w:val="left"/>
      <w:pPr>
        <w:ind w:left="58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21BE0">
      <w:start w:val="1"/>
      <w:numFmt w:val="bullet"/>
      <w:lvlText w:val="▪"/>
      <w:lvlJc w:val="left"/>
      <w:pPr>
        <w:ind w:left="660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85E51"/>
    <w:multiLevelType w:val="hybridMultilevel"/>
    <w:tmpl w:val="1CD09BD6"/>
    <w:lvl w:ilvl="0" w:tplc="FD46045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58944E">
      <w:start w:val="1"/>
      <w:numFmt w:val="bullet"/>
      <w:lvlText w:val="o"/>
      <w:lvlJc w:val="left"/>
      <w:pPr>
        <w:ind w:left="156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2D4C4">
      <w:start w:val="1"/>
      <w:numFmt w:val="bullet"/>
      <w:lvlText w:val="▪"/>
      <w:lvlJc w:val="left"/>
      <w:pPr>
        <w:ind w:left="22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6C1D12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64C43A">
      <w:start w:val="1"/>
      <w:numFmt w:val="bullet"/>
      <w:lvlText w:val="o"/>
      <w:lvlJc w:val="left"/>
      <w:pPr>
        <w:ind w:left="372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C4DEE">
      <w:start w:val="1"/>
      <w:numFmt w:val="bullet"/>
      <w:lvlText w:val="▪"/>
      <w:lvlJc w:val="left"/>
      <w:pPr>
        <w:ind w:left="444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B274D0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56EEBC">
      <w:start w:val="1"/>
      <w:numFmt w:val="bullet"/>
      <w:lvlText w:val="o"/>
      <w:lvlJc w:val="left"/>
      <w:pPr>
        <w:ind w:left="58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C8AA2">
      <w:start w:val="1"/>
      <w:numFmt w:val="bullet"/>
      <w:lvlText w:val="▪"/>
      <w:lvlJc w:val="left"/>
      <w:pPr>
        <w:ind w:left="660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D210FA"/>
    <w:multiLevelType w:val="hybridMultilevel"/>
    <w:tmpl w:val="190EB4E2"/>
    <w:lvl w:ilvl="0" w:tplc="EF6248A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00ADC2">
      <w:start w:val="1"/>
      <w:numFmt w:val="bullet"/>
      <w:lvlText w:val="o"/>
      <w:lvlJc w:val="left"/>
      <w:pPr>
        <w:ind w:left="156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AEE12">
      <w:start w:val="1"/>
      <w:numFmt w:val="bullet"/>
      <w:lvlText w:val="▪"/>
      <w:lvlJc w:val="left"/>
      <w:pPr>
        <w:ind w:left="22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FC5DE6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9EAD76">
      <w:start w:val="1"/>
      <w:numFmt w:val="bullet"/>
      <w:lvlText w:val="o"/>
      <w:lvlJc w:val="left"/>
      <w:pPr>
        <w:ind w:left="372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8722A">
      <w:start w:val="1"/>
      <w:numFmt w:val="bullet"/>
      <w:lvlText w:val="▪"/>
      <w:lvlJc w:val="left"/>
      <w:pPr>
        <w:ind w:left="444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61764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52DD3A">
      <w:start w:val="1"/>
      <w:numFmt w:val="bullet"/>
      <w:lvlText w:val="o"/>
      <w:lvlJc w:val="left"/>
      <w:pPr>
        <w:ind w:left="58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A92B6">
      <w:start w:val="1"/>
      <w:numFmt w:val="bullet"/>
      <w:lvlText w:val="▪"/>
      <w:lvlJc w:val="left"/>
      <w:pPr>
        <w:ind w:left="660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4B37A3"/>
    <w:multiLevelType w:val="hybridMultilevel"/>
    <w:tmpl w:val="56405D9A"/>
    <w:lvl w:ilvl="0" w:tplc="360E33E4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EB6D6">
      <w:start w:val="1"/>
      <w:numFmt w:val="bullet"/>
      <w:lvlText w:val="o"/>
      <w:lvlJc w:val="left"/>
      <w:pPr>
        <w:ind w:left="156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83ACA">
      <w:start w:val="1"/>
      <w:numFmt w:val="bullet"/>
      <w:lvlText w:val="▪"/>
      <w:lvlJc w:val="left"/>
      <w:pPr>
        <w:ind w:left="22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A019B0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EF7C8">
      <w:start w:val="1"/>
      <w:numFmt w:val="bullet"/>
      <w:lvlText w:val="o"/>
      <w:lvlJc w:val="left"/>
      <w:pPr>
        <w:ind w:left="372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B02DB4">
      <w:start w:val="1"/>
      <w:numFmt w:val="bullet"/>
      <w:lvlText w:val="▪"/>
      <w:lvlJc w:val="left"/>
      <w:pPr>
        <w:ind w:left="444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829E6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6FA9C">
      <w:start w:val="1"/>
      <w:numFmt w:val="bullet"/>
      <w:lvlText w:val="o"/>
      <w:lvlJc w:val="left"/>
      <w:pPr>
        <w:ind w:left="588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D80FFC">
      <w:start w:val="1"/>
      <w:numFmt w:val="bullet"/>
      <w:lvlText w:val="▪"/>
      <w:lvlJc w:val="left"/>
      <w:pPr>
        <w:ind w:left="6602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DA"/>
    <w:rsid w:val="006D7287"/>
    <w:rsid w:val="008867F1"/>
    <w:rsid w:val="00B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3CC84-BE55-4C97-A4A1-0424440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1129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Dance</dc:creator>
  <cp:keywords/>
  <cp:lastModifiedBy>Merry Dance</cp:lastModifiedBy>
  <cp:revision>3</cp:revision>
  <dcterms:created xsi:type="dcterms:W3CDTF">2020-02-09T21:58:00Z</dcterms:created>
  <dcterms:modified xsi:type="dcterms:W3CDTF">2020-02-09T21:58:00Z</dcterms:modified>
</cp:coreProperties>
</file>