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Capítulo 2: Definición del Problema y Justificación de la Solución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 desarrollo de soluciones basadas en Inteligencia Artificial en ámbitos altamente regulados requiere una comprensión profunda tanto de las ineficiencias del dominio como de las razones de ingeniería que justifican cada decisión técnica. Este capítulo aborda la caracterización del problema en el arbitraje náutico y fundamenta las decisiones de diseño adoptadas para resolverlo mediante un proceso iterativo guiado por evidencia empírica.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2.1 Contexto del Dominio y Planteamiento del Problema</w:t>
      </w:r>
    </w:p>
    <w:p w:rsidR="00000000" w:rsidDel="00000000" w:rsidP="00000000" w:rsidRDefault="00000000" w:rsidRPr="00000000" w14:paraId="00000008">
      <w:pPr>
        <w:rPr/>
      </w:pPr>
      <w:r w:rsidDel="00000000" w:rsidR="00000000" w:rsidRPr="00000000">
        <w:rPr>
          <w:rtl w:val="0"/>
        </w:rPr>
        <w:t xml:space="preserve">Las competencias de vela de alto rendimiento, y en particular modalidades dinámicas como el *Team Racing* (regatas por equipos), constituyen un escenario deportivo de alta complejidad táctica y operativa. A diferencia de otros deportes donde las infracciones son penalizadas de forma inmediata por un árbitro con visibilidad total, en las regatas la resolución de conflictos se fundamenta en un cuerpo legal estricto y extenso: el **Reglamento de Regatas a Vela (RRS)**, emitido por la federación internacional *World Sailing*.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Este reglamento técnico dicta desde las prioridades de paso fundamentales hasta las interacciones cinemáticas complejas en los puntos críticos del recorrido (como el paso por las boyas). En la práctica, ante un incidente en el agua, los competidores deben presentar solicitudes de protesta que posteriormente son evaluadas por un Comité de Protestas o un cuerpo de jueces (*Umpires*). Para dictaminar un fallo, los jueces no solo aplican el RRS, sino que deben contrastar los hechos con un corpus de jurisprudencia oficial compuesto por el *Call Book for Team Racing* y el *Case Book*.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pesar de contar con un marco normativo robusto, el proceso tradicional de gestión y resolución de protestas enfrenta severas limitaciones operativas y cognitivas que afectan la agilidad y la equidad de las competencias. Estos obstáculos se agrupan en cuatro dimensiones críticas: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A. Complejidad y Ambigüedad Semántica</w:t>
      </w:r>
    </w:p>
    <w:p w:rsidR="00000000" w:rsidDel="00000000" w:rsidP="00000000" w:rsidRDefault="00000000" w:rsidRPr="00000000" w14:paraId="0000000F">
      <w:pPr>
        <w:rPr/>
      </w:pPr>
      <w:r w:rsidDel="00000000" w:rsidR="00000000" w:rsidRPr="00000000">
        <w:rPr>
          <w:rtl w:val="0"/>
        </w:rPr>
        <w:t xml:space="preserve">El reglamento náutico funciona como un ordenamiento jurídico especializado. Un único incidente en el agua (por ejemplo, el cruce o aproximación de dos embarcaciones) suele activar múltiples reglas simultáneas que interactúan entre sí mediante jerarquías y excepciones (v.g., la obligación general de mantenerse alejado frente a la limitación al barco con derecho de paso cuando este cambia de rumbo).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Debido a que los regatistas redactan sus protestas utilizando un lenguaje natural, coloquial y muchas veces subjetivo, se genera una brecha lingüística. A los comités de regata o jueces de clubes pequeños les resulta complejo y lento traducir esa narrativa informal a las estructuras normativas y técnicas exactas que exige el reglamento.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B. Cuello de Botella Operativo en la Toma de Decisiones</w:t>
      </w:r>
    </w:p>
    <w:p w:rsidR="00000000" w:rsidDel="00000000" w:rsidP="00000000" w:rsidRDefault="00000000" w:rsidRPr="00000000" w14:paraId="00000014">
      <w:pPr>
        <w:rPr/>
      </w:pPr>
      <w:r w:rsidDel="00000000" w:rsidR="00000000" w:rsidRPr="00000000">
        <w:rPr>
          <w:rtl w:val="0"/>
        </w:rPr>
        <w:t xml:space="preserve">Al finalizar una jornada de competencia, los comités de protesta suelen recibir un volumen crítico de formularios escritos a mano o por correo electrónico. El proceso de clasificar estos relatos, resumir los eventos cronológicamente y extraer las entidades clave —determinar con precisión qué embarcación poseía el derecho de paso y cuál la obligación de mantenerse alejada— requiere horas de trabajo manual exhaustivo. Esta saturación administrativa retrasa la publicación de los resultados oficiales del campeonato y somete a los jueces a una alta fatiga cognitiva.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C. Inconsistencia e Interpretación Dispar de los Fallos</w:t>
      </w:r>
    </w:p>
    <w:p w:rsidR="00000000" w:rsidDel="00000000" w:rsidP="00000000" w:rsidRDefault="00000000" w:rsidRPr="00000000" w14:paraId="00000017">
      <w:pPr>
        <w:rPr/>
      </w:pPr>
      <w:r w:rsidDel="00000000" w:rsidR="00000000" w:rsidRPr="00000000">
        <w:rPr>
          <w:rtl w:val="0"/>
        </w:rPr>
        <w:t xml:space="preserve">La resolución de protestas posee un fuerte componente de interpretación humana. Ante relatos idénticos, dos comités de jueces distintos pueden emitir dictámenes divergentes si no disponen de un acceso inmediato, indexado y ágil a la jurisprudencia oficial (*Calls* o *Cases*). Esta falta de estandarización mina la predictibilidad del arbitraje, genera percepciones de injusticia en los atletas y perjudica la integridad competitiva del deporte.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D. La Subjetividad Narrativa como Barrera Probatoria</w:t>
      </w:r>
    </w:p>
    <w:p w:rsidR="00000000" w:rsidDel="00000000" w:rsidP="00000000" w:rsidRDefault="00000000" w:rsidRPr="00000000" w14:paraId="0000001A">
      <w:pPr>
        <w:rPr/>
      </w:pPr>
      <w:r w:rsidDel="00000000" w:rsidR="00000000" w:rsidRPr="00000000">
        <w:rPr>
          <w:rtl w:val="0"/>
        </w:rPr>
        <w:t xml:space="preserve">Gran parte de los incidentes ocurren en puntos alejados de la costa o fuera del campo visual directo de los jueces. En consecuencia, el testimonio y relato escrito de las partes involucradas se convierte en la única fuente de información disponible para reconstruir los hechos. Esta dependencia introduce contradicciones lingüísticas estructurales: es habitual que dos competidores describan la misma maniobra utilizando términos técnicos opuestos para justificar sus acciones. El proceso tradicional carece de herramientas que permitan comparar estas narrativas divergentes de manera sistemática y aislar los hechos consistentes para una reconstrucción lógica del escenario.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2.2 Justificación de la Solución Tecnológica: PLN e IA Generativa</w:t>
      </w:r>
    </w:p>
    <w:p w:rsidR="00000000" w:rsidDel="00000000" w:rsidP="00000000" w:rsidRDefault="00000000" w:rsidRPr="00000000" w14:paraId="0000001F">
      <w:pPr>
        <w:rPr/>
      </w:pPr>
      <w:r w:rsidDel="00000000" w:rsidR="00000000" w:rsidRPr="00000000">
        <w:rPr>
          <w:rtl w:val="0"/>
        </w:rPr>
        <w:t xml:space="preserve">Para mitigar estas deficiencias, este proyecto propone el desarrollo de un asistente inteligente basado en técnicas de **Procesamiento de Lenguaje Natural (PLN)** e **Inteligencia Artificial Generativa**. La tecnología no se concibe como un sustituto del criterio soberano del juez, sino como un mecanismo de aceleración y soporte cognitivo.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través de modelos de lenguaje avanzados y una arquitectura de **Generación Aumentada por Recuperación (RAG)**, el sistema es capaz de "normalizar" los relatos informales en español, extrayendo los agentes y sus posiciones relativas. Posteriormente, el motor RAG contrasta dicha información con el corpus normativo oficial en inglés, garantizando que el razonamiento posterior no se base en aproximaciones estadísticas o "alucinaciones" del modelo, sino en un anclaje estricto a la jurisprudencia vigente de *World Sailing*. De este modo, se transforma un proceso lento y subjetivo en un flujo de trabajo auditable, rápido y con un alto valor pedagógico para la comunidad náutica.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2.3 Punto de Partida y Línea Base de Desarrollo (E0)</w:t>
      </w:r>
    </w:p>
    <w:p w:rsidR="00000000" w:rsidDel="00000000" w:rsidP="00000000" w:rsidRDefault="00000000" w:rsidRPr="00000000" w14:paraId="00000026">
      <w:pPr>
        <w:rPr/>
      </w:pPr>
      <w:r w:rsidDel="00000000" w:rsidR="00000000" w:rsidRPr="00000000">
        <w:rPr>
          <w:rtl w:val="0"/>
        </w:rPr>
        <w:t xml:space="preserve">Como marco de comparación histórico se adoptó la Prueba de Concepto (PoC) inicial orientada al Procesamiento de Lenguaje Natural (PLN) desarrollada en ciclos previos de la Diplomatura (versión de referencia en el repositorio, mayo 2026). Esta versión original, etiquetada formalmente en la matriz de experimentos como la **Línea Base E0** (`baseline_call_case_qwen_es`), ya integraba los componentes básicos de comunicación interactiva (Gradio), un mecanismo general de fragmentación (*chunking*) para archivos PDF y un flujo de razonamiento lógico local (*Chain-of-Thought* con Qwen en español).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Sin embargo, el diagnóstico inicial de la línea base E0 reveló dos debilidades críticas en su arquitectura de conocimiento:</w:t>
      </w:r>
    </w:p>
    <w:p w:rsidR="00000000" w:rsidDel="00000000" w:rsidP="00000000" w:rsidRDefault="00000000" w:rsidRPr="00000000" w14:paraId="00000029">
      <w:pPr>
        <w:rPr/>
      </w:pPr>
      <w:r w:rsidDel="00000000" w:rsidR="00000000" w:rsidRPr="00000000">
        <w:rPr>
          <w:rtl w:val="0"/>
        </w:rPr>
        <w:t xml:space="preserve">* Indexaba de forma exclusiva el *Call Book* y el *Case Book* en formato PDF plano, prescindiendo de una inclusión explícita y estructurada del Reglamento de Regatas a Vela (RRS).</w:t>
      </w:r>
    </w:p>
    <w:p w:rsidR="00000000" w:rsidDel="00000000" w:rsidP="00000000" w:rsidRDefault="00000000" w:rsidRPr="00000000" w14:paraId="0000002A">
      <w:pPr>
        <w:rPr/>
      </w:pPr>
      <w:r w:rsidDel="00000000" w:rsidR="00000000" w:rsidRPr="00000000">
        <w:rPr>
          <w:rtl w:val="0"/>
        </w:rPr>
        <w:t xml:space="preserve">* Carecía de una lógica de balanceo en la recuperación, operando bajo un ordenamiento léxico global libre y sin cuotas por tipo de documento.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Como consecuencia, aunque la línea base E0 demostró una capacidad aceptable para recuperar interpretaciones de regatas por equipos (alcanzando un *Recall* de $R@k \approx 0.27$ para el *Call Book*), evidenció una debilidad estructural en el recobrado de reglas generales ($R@k \approx 0.41$), limitando la precisión técnica del razonamiento legal posterior. La fijación rigurosa de este baseline inmutable (asociado al tag `v0.1.0-baseline`) resultó indispensable para aislar y medir el impacto real de las sucesivas optimizaciones de ingeniería.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2.4 Evolución Cronológica y Fundamentación de Decisiones de Diseño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2.4.1 Implementación del Pipeline de Evaluación Automatizada</w:t>
      </w:r>
    </w:p>
    <w:p w:rsidR="00000000" w:rsidDel="00000000" w:rsidP="00000000" w:rsidRDefault="00000000" w:rsidRPr="00000000" w14:paraId="00000033">
      <w:pPr>
        <w:rPr/>
      </w:pPr>
      <w:r w:rsidDel="00000000" w:rsidR="00000000" w:rsidRPr="00000000">
        <w:rPr>
          <w:rtl w:val="0"/>
        </w:rPr>
        <w:t xml:space="preserve">* **Decisión:** Desarrollar un subsistema inmutable de evaluación batch compuesto por 15 incidentes navales de alta complejidad extraídos del *Ground Truth* técnico del proyecto (`eval_set.json`).</w:t>
      </w:r>
    </w:p>
    <w:p w:rsidR="00000000" w:rsidDel="00000000" w:rsidP="00000000" w:rsidRDefault="00000000" w:rsidRPr="00000000" w14:paraId="00000034">
      <w:pPr>
        <w:rPr/>
      </w:pPr>
      <w:r w:rsidDel="00000000" w:rsidR="00000000" w:rsidRPr="00000000">
        <w:rPr>
          <w:rtl w:val="0"/>
        </w:rPr>
        <w:t xml:space="preserve">* **Justificación:** Las protestas en el arbitraje náutico exigen un nivel absoluto de trazabilidad legal. La automatización de las pruebas mediante el script `eval_run.py` permitió independizar los fallos de la etapa de recuperación (*retrieval*) de los errores propios de la capa de respuesta del LLM (*generation*). A partir de este hito, cada modificación en el código fue evaluada bajo métricas estandarizadas ($R@k$, $F1\text{-score}$ de citas, similitud de Jaccard y coincidencia de veredicto), impidiendo la introducción de regresiones funcionales.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2.4.2 Transición hacia una Ingesta Estructurada (CSV a JSONL)</w:t>
      </w:r>
    </w:p>
    <w:p w:rsidR="00000000" w:rsidDel="00000000" w:rsidP="00000000" w:rsidRDefault="00000000" w:rsidRPr="00000000" w14:paraId="00000037">
      <w:pPr>
        <w:rPr/>
      </w:pPr>
      <w:r w:rsidDel="00000000" w:rsidR="00000000" w:rsidRPr="00000000">
        <w:rPr>
          <w:rtl w:val="0"/>
        </w:rPr>
        <w:t xml:space="preserve">* **Decisión:** Abandonar el procesamiento basado puramente en PDF planos y migrar hacia un repositorio de unidades normativas atómicas grabadas en formato JSONL (`corpus/processed/*.jsonl`).</w:t>
      </w:r>
    </w:p>
    <w:p w:rsidR="00000000" w:rsidDel="00000000" w:rsidP="00000000" w:rsidRDefault="00000000" w:rsidRPr="00000000" w14:paraId="00000038">
      <w:pPr>
        <w:rPr/>
      </w:pPr>
      <w:r w:rsidDel="00000000" w:rsidR="00000000" w:rsidRPr="00000000">
        <w:rPr>
          <w:rtl w:val="0"/>
        </w:rPr>
        <w:t xml:space="preserve">* **Justificación:** El Análisis Exploratorio de Datos (EDA) determinó que los cortes físicos por páginas destruían la continuidad semántica de los artículos jurídicos y mezclaban reglas inconexas en un mismo fragmento. Al procesar bases estructuradas en CSV para alimentar los archivos JSONL, se garantizó una relación biunívoca estricta: **un chunk equivale exactamente a una norma jurídica citable**. Esta reestructuración enriqueció cada fragmento con metadatos explícitos (`doc_type`, `ref_id`, `referenced_rules`) y consolidó un índice compacto y limpio de aproximadamente 707 registros auditables.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2.4.3 Rechazo de la Indexación Masiva sin Restricciones (E3)</w:t>
      </w:r>
    </w:p>
    <w:p w:rsidR="00000000" w:rsidDel="00000000" w:rsidP="00000000" w:rsidRDefault="00000000" w:rsidRPr="00000000" w14:paraId="0000003B">
      <w:pPr>
        <w:rPr/>
      </w:pPr>
      <w:r w:rsidDel="00000000" w:rsidR="00000000" w:rsidRPr="00000000">
        <w:rPr>
          <w:rtl w:val="0"/>
        </w:rPr>
        <w:t xml:space="preserve">* **Decisión:** Descartar de forma definitiva el uso de índices mixtos masivos que combinaban PDF crudos con JSONL sin control de segmentación (~1 389 chunks, experimento E3).</w:t>
      </w:r>
    </w:p>
    <w:p w:rsidR="00000000" w:rsidDel="00000000" w:rsidP="00000000" w:rsidRDefault="00000000" w:rsidRPr="00000000" w14:paraId="0000003C">
      <w:pPr>
        <w:rPr/>
      </w:pPr>
      <w:r w:rsidDel="00000000" w:rsidR="00000000" w:rsidRPr="00000000">
        <w:rPr>
          <w:rtl w:val="0"/>
        </w:rPr>
        <w:t xml:space="preserve">* **Justificación:** Al consolidar un único pool de conocimiento masivo y desordenado, se provocó un fenómeno de **dilución semántica**. El volumen abrumador de texto plano desplazó a las reglas específicas del RRS, reduciendo el *Recall* general por debajo de la línea base E0. Esto demostró que la ganancia en volumen sin un diseño de acceso estructurado degrada la calidad del RAG, direccionando la arquitectura hacia la restricción exclusiva de fuentes limpias (`REGATAS_CORPUS_SOURCES=processed`).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2.4.4 Asignación de Cupos Fijos de Recuperación (E10 a E11)</w:t>
      </w:r>
    </w:p>
    <w:p w:rsidR="00000000" w:rsidDel="00000000" w:rsidP="00000000" w:rsidRDefault="00000000" w:rsidRPr="00000000" w14:paraId="0000003F">
      <w:pPr>
        <w:rPr/>
      </w:pPr>
      <w:r w:rsidDel="00000000" w:rsidR="00000000" w:rsidRPr="00000000">
        <w:rPr>
          <w:rtl w:val="0"/>
        </w:rPr>
        <w:t xml:space="preserve">* **Decisión:** Configurar una política mandatoria de cuotas documentales dentro del contexto del prompt ($top\_k = 8$), reservando slots específicos por familia jurídica: **2 segmentos de RRS + 3 de Call Book + 2 de Case Book + 1 de definiciones**.</w:t>
      </w:r>
    </w:p>
    <w:p w:rsidR="00000000" w:rsidDel="00000000" w:rsidP="00000000" w:rsidRDefault="00000000" w:rsidRPr="00000000" w14:paraId="00000040">
      <w:pPr>
        <w:rPr/>
      </w:pPr>
      <w:r w:rsidDel="00000000" w:rsidR="00000000" w:rsidRPr="00000000">
        <w:rPr>
          <w:rtl w:val="0"/>
        </w:rPr>
        <w:t xml:space="preserve">* **Justificación:** Debido a que el corpus posee cientos de artículos generales del RRS, los algoritmos de ordenamiento convencionales tendían a monopolizar los fragmentos devueltos con textos del reglamento base, expulsando la jurisprudencia específica del *Call Book* necesaria para resolver casos de *Team Racing*. La introducción de cupos fijos (perfil E11) balanceó el contexto de forma óptima: estabilizó el recall de reglas en un sobresaliente **0.76** (un incremento del 85% relativo frente a E0) y protegiendo al mismo tiempo la presencia de *Calls* críticos.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2.4.5 Preservación del Motor Léxico frente a Enfoques Híbridos (E15 a E17)</w:t>
      </w:r>
    </w:p>
    <w:p w:rsidR="00000000" w:rsidDel="00000000" w:rsidP="00000000" w:rsidRDefault="00000000" w:rsidRPr="00000000" w14:paraId="00000043">
      <w:pPr>
        <w:rPr/>
      </w:pPr>
      <w:r w:rsidDel="00000000" w:rsidR="00000000" w:rsidRPr="00000000">
        <w:rPr>
          <w:rtl w:val="0"/>
        </w:rPr>
        <w:t xml:space="preserve">* **Decisión:** Mantener la recuperación léxica pura (`REGATAS_EMBEDDING_BACKEND=lexical`) como la configuración productiva estándar, relegando el modelo híbrido (léxico + semántico) a un rol opcional de experimentación (*opt-in*).</w:t>
      </w:r>
    </w:p>
    <w:p w:rsidR="00000000" w:rsidDel="00000000" w:rsidP="00000000" w:rsidRDefault="00000000" w:rsidRPr="00000000" w14:paraId="00000044">
      <w:pPr>
        <w:rPr/>
      </w:pPr>
      <w:r w:rsidDel="00000000" w:rsidR="00000000" w:rsidRPr="00000000">
        <w:rPr>
          <w:rtl w:val="0"/>
        </w:rPr>
        <w:t xml:space="preserve">* **Justificación:** Las pruebas con vectores híbridos puros sin contingencias (E15) dañaron el recobrado de reglas normativas ($R@k = 0.60$). Si bien la inclusión de un mecanismo de soporte semántico (*fallback*) balanceó el indicador general (E16), la evaluación end-to-end integrada con el generador de respuestas (E17) arrojó un deterioro en el $F1\text{-score}$ de citas y en la precisión del dictamen final. Al enriquecer semánticamente las cabeceras, títulos y reglas cruzadas dentro del índice JSONL estructurado, el motor léxico alcanzó el techo de rendimiento matemático medido en el proyecto, operando a una fracción del costo computacional y eliminando la latencia y los riesgos de regresión asociados a encoders vectoriales locales.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2.4.6 Maduración del Prompt de Inferencia: Estructuración y Formato v3 (E12 a E13)</w:t>
      </w:r>
    </w:p>
    <w:p w:rsidR="00000000" w:rsidDel="00000000" w:rsidP="00000000" w:rsidRDefault="00000000" w:rsidRPr="00000000" w14:paraId="00000047">
      <w:pPr>
        <w:rPr/>
      </w:pPr>
      <w:r w:rsidDel="00000000" w:rsidR="00000000" w:rsidRPr="00000000">
        <w:rPr>
          <w:rtl w:val="0"/>
        </w:rPr>
        <w:t xml:space="preserve">* **Decisión:** Adoptar de forma mandatoria la plantilla de instrucciones v3 en español, la cual implementa una arquitectura rígida de salida dividida en cuatro bloques de análisis (Síntesis, Normas, Rationale y Resolución) y exige el cierre del informe mediante la etiqueta unívoca `Decisión:`.</w:t>
      </w:r>
    </w:p>
    <w:p w:rsidR="00000000" w:rsidDel="00000000" w:rsidP="00000000" w:rsidRDefault="00000000" w:rsidRPr="00000000" w14:paraId="00000048">
      <w:pPr>
        <w:rPr/>
      </w:pPr>
      <w:r w:rsidDel="00000000" w:rsidR="00000000" w:rsidRPr="00000000">
        <w:rPr>
          <w:rtl w:val="0"/>
        </w:rPr>
        <w:t xml:space="preserve">* **Justificación:** Los experimentos iniciales con el índice optimizado de producción (E11) demostraron que, si bien el contexto provisto al LLM ya contenía las normas legales correctas, el prompt heredado de la PoC clásica de PLN era incapaz de obligar al modelo a estructurar su respuesta de forma parseable, resultando en una **tasa de dictamen automático del 0 %**. La introducción del prompt v2 (E12) localizó el problema en la capa de generación de la respuesta. Finalmente, la ingeniería de instrucciones aplicada en la versión v3 (experimento E13) resolvió la brecha de formato: alinea perfectamente la salida con el parser automatizado de citas (`refs.py`), catapultando la precisión del dictamen correcto al **60 %** del total de casos de prueba.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2.4.7 Descarte de la Respuesta en Idioma Inglés (E14)</w:t>
      </w:r>
    </w:p>
    <w:p w:rsidR="00000000" w:rsidDel="00000000" w:rsidP="00000000" w:rsidRDefault="00000000" w:rsidRPr="00000000" w14:paraId="0000004B">
      <w:pPr>
        <w:rPr/>
      </w:pPr>
      <w:r w:rsidDel="00000000" w:rsidR="00000000" w:rsidRPr="00000000">
        <w:rPr>
          <w:rtl w:val="0"/>
        </w:rPr>
        <w:t xml:space="preserve">* **Decisión:** Rechazar la generación del informe final en inglés, manteniendo la variable idiomática configurada invariablemente en español (`REGATAS_RESPONSE_LANG=es`).</w:t>
      </w:r>
    </w:p>
    <w:p w:rsidR="00000000" w:rsidDel="00000000" w:rsidP="00000000" w:rsidRDefault="00000000" w:rsidRPr="00000000" w14:paraId="0000004C">
      <w:pPr>
        <w:rPr/>
      </w:pPr>
      <w:r w:rsidDel="00000000" w:rsidR="00000000" w:rsidRPr="00000000">
        <w:rPr>
          <w:rtl w:val="0"/>
        </w:rPr>
        <w:t xml:space="preserve">* **Justificación:** Desde la perspectiva puramente técnica del RAG, forzar al LLM a responder en inglés (E14) incrementaba el solapamiento léxico con el corpus original y elevaba el $F1\text{-score}$ de las reglas en un $+0.10$. Sin embargo, esta ganancia léxica marginal destruía la utilidad práctica y la interpretabilidad pedagógica del sistema en el entorno de destino: la tasa de dictámenes correctos se desplomó al 40 % y la similitud semántica con el output ideal decayó notablemente. Se priorizó la consistencia operativa y el éxito del negocio por sobre la métrica matemática cruda del retriever.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2.5 Síntesis de la Configuración Adoptada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El perfil de producción consolidado para el despliegue de la Prueba de Concepto final se fundamenta en las siguientes definiciones de diseño tecnológico: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&lt;table style="width:100%; border-collapse: collapse; margin-top: 10px; margin-bottom: 20px;"&gt;</w:t>
      </w:r>
    </w:p>
    <w:p w:rsidR="00000000" w:rsidDel="00000000" w:rsidP="00000000" w:rsidRDefault="00000000" w:rsidRPr="00000000" w14:paraId="00000055">
      <w:pPr>
        <w:rPr/>
      </w:pPr>
      <w:r w:rsidDel="00000000" w:rsidR="00000000" w:rsidRPr="00000000">
        <w:rPr>
          <w:rtl w:val="0"/>
        </w:rPr>
        <w:t xml:space="preserve">  &lt;thead&gt;</w:t>
      </w:r>
    </w:p>
    <w:p w:rsidR="00000000" w:rsidDel="00000000" w:rsidP="00000000" w:rsidRDefault="00000000" w:rsidRPr="00000000" w14:paraId="00000056">
      <w:pPr>
        <w:rPr/>
      </w:pPr>
      <w:r w:rsidDel="00000000" w:rsidR="00000000" w:rsidRPr="00000000">
        <w:rPr>
          <w:rtl w:val="0"/>
        </w:rPr>
        <w:t xml:space="preserve">    &lt;tr style="background-color: #f2f2f2; border-bottom: 2px solid #ddd;"&gt;</w:t>
      </w:r>
    </w:p>
    <w:p w:rsidR="00000000" w:rsidDel="00000000" w:rsidP="00000000" w:rsidRDefault="00000000" w:rsidRPr="00000000" w14:paraId="00000057">
      <w:pPr>
        <w:rPr/>
      </w:pPr>
      <w:r w:rsidDel="00000000" w:rsidR="00000000" w:rsidRPr="00000000">
        <w:rPr>
          <w:rtl w:val="0"/>
        </w:rPr>
        <w:t xml:space="preserve">      &lt;th style="padding: 10px; text-align: left; width: 25%;"&gt;Capa del Sistema&lt;/th&gt;</w:t>
      </w:r>
    </w:p>
    <w:p w:rsidR="00000000" w:rsidDel="00000000" w:rsidP="00000000" w:rsidRDefault="00000000" w:rsidRPr="00000000" w14:paraId="00000058">
      <w:pPr>
        <w:rPr/>
      </w:pPr>
      <w:r w:rsidDel="00000000" w:rsidR="00000000" w:rsidRPr="00000000">
        <w:rPr>
          <w:rtl w:val="0"/>
        </w:rPr>
        <w:t xml:space="preserve">      &lt;th style="padding: 10px; text-align: left; width: 50%;"&gt;Estrategia Tecnológica Adoptada&lt;/th&gt;</w:t>
      </w:r>
    </w:p>
    <w:p w:rsidR="00000000" w:rsidDel="00000000" w:rsidP="00000000" w:rsidRDefault="00000000" w:rsidRPr="00000000" w14:paraId="00000059">
      <w:pPr>
        <w:rPr/>
      </w:pPr>
      <w:r w:rsidDel="00000000" w:rsidR="00000000" w:rsidRPr="00000000">
        <w:rPr>
          <w:rtl w:val="0"/>
        </w:rPr>
        <w:t xml:space="preserve">      &lt;th style="padding: 10px; text-align: center; width: 25%;"&gt;Experimento de Validación&lt;/th&gt;</w:t>
      </w:r>
    </w:p>
    <w:p w:rsidR="00000000" w:rsidDel="00000000" w:rsidP="00000000" w:rsidRDefault="00000000" w:rsidRPr="00000000" w14:paraId="0000005A">
      <w:pPr>
        <w:rPr/>
      </w:pPr>
      <w:r w:rsidDel="00000000" w:rsidR="00000000" w:rsidRPr="00000000">
        <w:rPr>
          <w:rtl w:val="0"/>
        </w:rPr>
        <w:t xml:space="preserve">    &lt;/tr&gt;</w:t>
      </w:r>
    </w:p>
    <w:p w:rsidR="00000000" w:rsidDel="00000000" w:rsidP="00000000" w:rsidRDefault="00000000" w:rsidRPr="00000000" w14:paraId="0000005B">
      <w:pPr>
        <w:rPr/>
      </w:pPr>
      <w:r w:rsidDel="00000000" w:rsidR="00000000" w:rsidRPr="00000000">
        <w:rPr>
          <w:rtl w:val="0"/>
        </w:rPr>
        <w:t xml:space="preserve">  &lt;/thead&gt;</w:t>
      </w:r>
    </w:p>
    <w:p w:rsidR="00000000" w:rsidDel="00000000" w:rsidP="00000000" w:rsidRDefault="00000000" w:rsidRPr="00000000" w14:paraId="0000005C">
      <w:pPr>
        <w:rPr/>
      </w:pPr>
      <w:r w:rsidDel="00000000" w:rsidR="00000000" w:rsidRPr="00000000">
        <w:rPr>
          <w:rtl w:val="0"/>
        </w:rPr>
        <w:t xml:space="preserve">  &lt;tbody&gt;</w:t>
      </w:r>
    </w:p>
    <w:p w:rsidR="00000000" w:rsidDel="00000000" w:rsidP="00000000" w:rsidRDefault="00000000" w:rsidRPr="00000000" w14:paraId="0000005D">
      <w:pPr>
        <w:rPr/>
      </w:pPr>
      <w:r w:rsidDel="00000000" w:rsidR="00000000" w:rsidRPr="00000000">
        <w:rPr>
          <w:rtl w:val="0"/>
        </w:rPr>
        <w:t xml:space="preserve">    &lt;tr style="border-bottom: 1px solid #ddd;"&gt;</w:t>
      </w:r>
    </w:p>
    <w:p w:rsidR="00000000" w:rsidDel="00000000" w:rsidP="00000000" w:rsidRDefault="00000000" w:rsidRPr="00000000" w14:paraId="0000005E">
      <w:pPr>
        <w:rPr/>
      </w:pPr>
      <w:r w:rsidDel="00000000" w:rsidR="00000000" w:rsidRPr="00000000">
        <w:rPr>
          <w:rtl w:val="0"/>
        </w:rPr>
        <w:t xml:space="preserve">      &lt;td style="padding: 10px; text-align: left;"&gt;&lt;strong&gt;Estructura del Corpus&lt;/strong&gt;&lt;/td&gt;</w:t>
      </w:r>
    </w:p>
    <w:p w:rsidR="00000000" w:rsidDel="00000000" w:rsidP="00000000" w:rsidRDefault="00000000" w:rsidRPr="00000000" w14:paraId="0000005F">
      <w:pPr>
        <w:rPr/>
      </w:pPr>
      <w:r w:rsidDel="00000000" w:rsidR="00000000" w:rsidRPr="00000000">
        <w:rPr>
          <w:rtl w:val="0"/>
        </w:rPr>
        <w:t xml:space="preserve">      &lt;td style="padding: 10px; text-align: left;"&gt;Repositorio de registros JSONL &lt;code&gt;processed&lt;/code&gt; (~707 chunks atómicos).&lt;/td&gt;</w:t>
      </w:r>
    </w:p>
    <w:p w:rsidR="00000000" w:rsidDel="00000000" w:rsidP="00000000" w:rsidRDefault="00000000" w:rsidRPr="00000000" w14:paraId="00000060">
      <w:pPr>
        <w:rPr/>
      </w:pPr>
      <w:r w:rsidDel="00000000" w:rsidR="00000000" w:rsidRPr="00000000">
        <w:rPr>
          <w:rtl w:val="0"/>
        </w:rPr>
        <w:t xml:space="preserve">      &lt;td style="padding: 10px; text-align: center;"&gt;E8 – E11&lt;/td&gt;</w:t>
      </w:r>
    </w:p>
    <w:p w:rsidR="00000000" w:rsidDel="00000000" w:rsidP="00000000" w:rsidRDefault="00000000" w:rsidRPr="00000000" w14:paraId="00000061">
      <w:pPr>
        <w:rPr/>
      </w:pPr>
      <w:r w:rsidDel="00000000" w:rsidR="00000000" w:rsidRPr="00000000">
        <w:rPr>
          <w:rtl w:val="0"/>
        </w:rPr>
        <w:t xml:space="preserve">    &lt;/tr&gt;</w:t>
      </w:r>
    </w:p>
    <w:p w:rsidR="00000000" w:rsidDel="00000000" w:rsidP="00000000" w:rsidRDefault="00000000" w:rsidRPr="00000000" w14:paraId="00000062">
      <w:pPr>
        <w:rPr/>
      </w:pPr>
      <w:r w:rsidDel="00000000" w:rsidR="00000000" w:rsidRPr="00000000">
        <w:rPr>
          <w:rtl w:val="0"/>
        </w:rPr>
        <w:t xml:space="preserve">    &lt;tr style="border-bottom: 1px solid #ddd; background-color: #f9f9f9;"&gt;</w:t>
      </w:r>
    </w:p>
    <w:p w:rsidR="00000000" w:rsidDel="00000000" w:rsidP="00000000" w:rsidRDefault="00000000" w:rsidRPr="00000000" w14:paraId="00000063">
      <w:pPr>
        <w:rPr/>
      </w:pPr>
      <w:r w:rsidDel="00000000" w:rsidR="00000000" w:rsidRPr="00000000">
        <w:rPr>
          <w:rtl w:val="0"/>
        </w:rPr>
        <w:t xml:space="preserve">      &lt;td style="padding: 10px; text-align: left;"&gt;&lt;strong&gt;Motor de Retrieval&lt;/strong&gt;&lt;/td&gt;</w:t>
      </w:r>
    </w:p>
    <w:p w:rsidR="00000000" w:rsidDel="00000000" w:rsidP="00000000" w:rsidRDefault="00000000" w:rsidRPr="00000000" w14:paraId="00000064">
      <w:pPr>
        <w:rPr/>
      </w:pPr>
      <w:r w:rsidDel="00000000" w:rsidR="00000000" w:rsidRPr="00000000">
        <w:rPr>
          <w:rtl w:val="0"/>
        </w:rPr>
        <w:t xml:space="preserve">      &lt;td style="padding: 10px; text-align: left;"&gt;Algoritmo léxico parametrizado con cupos fijos por origen (2+3+2+1) en un $top\_k = 8$.&lt;/td&gt;</w:t>
      </w:r>
    </w:p>
    <w:p w:rsidR="00000000" w:rsidDel="00000000" w:rsidP="00000000" w:rsidRDefault="00000000" w:rsidRPr="00000000" w14:paraId="00000065">
      <w:pPr>
        <w:rPr/>
      </w:pPr>
      <w:r w:rsidDel="00000000" w:rsidR="00000000" w:rsidRPr="00000000">
        <w:rPr>
          <w:rtl w:val="0"/>
        </w:rPr>
        <w:t xml:space="preserve">      &lt;td style="padding: 10px; text-align: center;"&gt;&lt;strong&gt;Experimento E11&lt;/strong&gt;&lt;/td&gt;</w:t>
      </w:r>
    </w:p>
    <w:p w:rsidR="00000000" w:rsidDel="00000000" w:rsidP="00000000" w:rsidRDefault="00000000" w:rsidRPr="00000000" w14:paraId="00000066">
      <w:pPr>
        <w:rPr/>
      </w:pPr>
      <w:r w:rsidDel="00000000" w:rsidR="00000000" w:rsidRPr="00000000">
        <w:rPr>
          <w:rtl w:val="0"/>
        </w:rPr>
        <w:t xml:space="preserve">    &lt;/tr&gt;</w:t>
      </w:r>
    </w:p>
    <w:p w:rsidR="00000000" w:rsidDel="00000000" w:rsidP="00000000" w:rsidRDefault="00000000" w:rsidRPr="00000000" w14:paraId="00000067">
      <w:pPr>
        <w:rPr/>
      </w:pPr>
      <w:r w:rsidDel="00000000" w:rsidR="00000000" w:rsidRPr="00000000">
        <w:rPr>
          <w:rtl w:val="0"/>
        </w:rPr>
        <w:t xml:space="preserve">    &lt;tr style="border-bottom: 1px solid #ddd;"&gt;</w:t>
      </w:r>
    </w:p>
    <w:p w:rsidR="00000000" w:rsidDel="00000000" w:rsidP="00000000" w:rsidRDefault="00000000" w:rsidRPr="00000000" w14:paraId="00000068">
      <w:pPr>
        <w:rPr/>
      </w:pPr>
      <w:r w:rsidDel="00000000" w:rsidR="00000000" w:rsidRPr="00000000">
        <w:rPr>
          <w:rtl w:val="0"/>
        </w:rPr>
        <w:t xml:space="preserve">      &lt;td style="padding: 10px; text-align: left;"&gt;&lt;strong&gt;Inferencia Core LLM&lt;/strong&gt;&lt;/td&gt;</w:t>
      </w:r>
    </w:p>
    <w:p w:rsidR="00000000" w:rsidDel="00000000" w:rsidP="00000000" w:rsidRDefault="00000000" w:rsidRPr="00000000" w14:paraId="00000069">
      <w:pPr>
        <w:rPr/>
      </w:pPr>
      <w:r w:rsidDel="00000000" w:rsidR="00000000" w:rsidRPr="00000000">
        <w:rPr>
          <w:rtl w:val="0"/>
        </w:rPr>
        <w:t xml:space="preserve">      &lt;td style="padding: 10px; text-align: left;"&gt;Ejecución local de Qwen2.5 14B Instruct mediante API compatible con OpenAI en Ollama.&lt;/td&gt;</w:t>
      </w:r>
    </w:p>
    <w:p w:rsidR="00000000" w:rsidDel="00000000" w:rsidP="00000000" w:rsidRDefault="00000000" w:rsidRPr="00000000" w14:paraId="0000006A">
      <w:pPr>
        <w:rPr/>
      </w:pPr>
      <w:r w:rsidDel="00000000" w:rsidR="00000000" w:rsidRPr="00000000">
        <w:rPr>
          <w:rtl w:val="0"/>
        </w:rPr>
        <w:t xml:space="preserve">      &lt;td style="padding: 10px; text-align: center;"&gt;Línea Base E0&lt;/td&gt;</w:t>
      </w:r>
    </w:p>
    <w:p w:rsidR="00000000" w:rsidDel="00000000" w:rsidP="00000000" w:rsidRDefault="00000000" w:rsidRPr="00000000" w14:paraId="0000006B">
      <w:pPr>
        <w:rPr/>
      </w:pPr>
      <w:r w:rsidDel="00000000" w:rsidR="00000000" w:rsidRPr="00000000">
        <w:rPr>
          <w:rtl w:val="0"/>
        </w:rPr>
        <w:t xml:space="preserve">    &lt;/tr&gt;</w:t>
      </w:r>
    </w:p>
    <w:p w:rsidR="00000000" w:rsidDel="00000000" w:rsidP="00000000" w:rsidRDefault="00000000" w:rsidRPr="00000000" w14:paraId="0000006C">
      <w:pPr>
        <w:rPr/>
      </w:pPr>
      <w:r w:rsidDel="00000000" w:rsidR="00000000" w:rsidRPr="00000000">
        <w:rPr>
          <w:rtl w:val="0"/>
        </w:rPr>
        <w:t xml:space="preserve">    &lt;tr style="border-bottom: 1px solid #ddd; background-color: #f9f9f9;"&gt;</w:t>
      </w:r>
    </w:p>
    <w:p w:rsidR="00000000" w:rsidDel="00000000" w:rsidP="00000000" w:rsidRDefault="00000000" w:rsidRPr="00000000" w14:paraId="0000006D">
      <w:pPr>
        <w:rPr/>
      </w:pPr>
      <w:r w:rsidDel="00000000" w:rsidR="00000000" w:rsidRPr="00000000">
        <w:rPr>
          <w:rtl w:val="0"/>
        </w:rPr>
        <w:t xml:space="preserve">      &lt;td style="padding: 10px; text-align: left;"&gt;&lt;strong&gt;Ingeniería de Prompts&lt;/strong&gt;&lt;/td&gt;</w:t>
      </w:r>
    </w:p>
    <w:p w:rsidR="00000000" w:rsidDel="00000000" w:rsidP="00000000" w:rsidRDefault="00000000" w:rsidRPr="00000000" w14:paraId="0000006E">
      <w:pPr>
        <w:rPr/>
      </w:pPr>
      <w:r w:rsidDel="00000000" w:rsidR="00000000" w:rsidRPr="00000000">
        <w:rPr>
          <w:rtl w:val="0"/>
        </w:rPr>
        <w:t xml:space="preserve">      &lt;td style="padding: 10px; text-align: left;"&gt;Plantilla estructurada v3 en idioma español con desglose &lt;i&gt;Chain-of-Thought&lt;/i&gt; y token de cierre parseable.&lt;/td&gt;</w:t>
      </w:r>
    </w:p>
    <w:p w:rsidR="00000000" w:rsidDel="00000000" w:rsidP="00000000" w:rsidRDefault="00000000" w:rsidRPr="00000000" w14:paraId="0000006F">
      <w:pPr>
        <w:rPr/>
      </w:pPr>
      <w:r w:rsidDel="00000000" w:rsidR="00000000" w:rsidRPr="00000000">
        <w:rPr>
          <w:rtl w:val="0"/>
        </w:rPr>
        <w:t xml:space="preserve">      &lt;td style="padding: 10px; text-align: center;"&gt;&lt;strong&gt;Experimento E13&lt;/strong&gt;&lt;/td&gt;</w:t>
      </w:r>
    </w:p>
    <w:p w:rsidR="00000000" w:rsidDel="00000000" w:rsidP="00000000" w:rsidRDefault="00000000" w:rsidRPr="00000000" w14:paraId="00000070">
      <w:pPr>
        <w:rPr/>
      </w:pPr>
      <w:r w:rsidDel="00000000" w:rsidR="00000000" w:rsidRPr="00000000">
        <w:rPr>
          <w:rtl w:val="0"/>
        </w:rPr>
        <w:t xml:space="preserve">    &lt;/tr&gt;</w:t>
      </w:r>
    </w:p>
    <w:p w:rsidR="00000000" w:rsidDel="00000000" w:rsidP="00000000" w:rsidRDefault="00000000" w:rsidRPr="00000000" w14:paraId="00000071">
      <w:pPr>
        <w:rPr/>
      </w:pPr>
      <w:r w:rsidDel="00000000" w:rsidR="00000000" w:rsidRPr="00000000">
        <w:rPr>
          <w:rtl w:val="0"/>
        </w:rPr>
        <w:t xml:space="preserve">    &lt;tr style="border-bottom: 2px solid #ddd;"&gt;</w:t>
      </w:r>
    </w:p>
    <w:p w:rsidR="00000000" w:rsidDel="00000000" w:rsidP="00000000" w:rsidRDefault="00000000" w:rsidRPr="00000000" w14:paraId="00000072">
      <w:pPr>
        <w:rPr/>
      </w:pPr>
      <w:r w:rsidDel="00000000" w:rsidR="00000000" w:rsidRPr="00000000">
        <w:rPr>
          <w:rtl w:val="0"/>
        </w:rPr>
        <w:t xml:space="preserve">      &lt;td style="padding: 10px; text-align: left;"&gt;&lt;strong&gt;Capa de Control&lt;/strong&gt;&lt;/td&gt;</w:t>
      </w:r>
    </w:p>
    <w:p w:rsidR="00000000" w:rsidDel="00000000" w:rsidP="00000000" w:rsidRDefault="00000000" w:rsidRPr="00000000" w14:paraId="00000073">
      <w:pPr>
        <w:rPr/>
      </w:pPr>
      <w:r w:rsidDel="00000000" w:rsidR="00000000" w:rsidRPr="00000000">
        <w:rPr>
          <w:rtl w:val="0"/>
        </w:rPr>
        <w:t xml:space="preserve">      &lt;td style="padding: 10px; text-align: left;"&gt;Centralización en perfiles inmutables e integración de tests unitarios de regresión automática.&lt;/td&gt;</w:t>
      </w:r>
    </w:p>
    <w:p w:rsidR="00000000" w:rsidDel="00000000" w:rsidP="00000000" w:rsidRDefault="00000000" w:rsidRPr="00000000" w14:paraId="00000074">
      <w:pPr>
        <w:rPr/>
      </w:pPr>
      <w:r w:rsidDel="00000000" w:rsidR="00000000" w:rsidRPr="00000000">
        <w:rPr>
          <w:rtl w:val="0"/>
        </w:rPr>
        <w:t xml:space="preserve">      &lt;td style="padding: 10px; text-align: center;"&gt;Fase Final de Cierre&lt;/td&gt;</w:t>
      </w:r>
    </w:p>
    <w:p w:rsidR="00000000" w:rsidDel="00000000" w:rsidP="00000000" w:rsidRDefault="00000000" w:rsidRPr="00000000" w14:paraId="00000075">
      <w:pPr>
        <w:rPr/>
      </w:pPr>
      <w:r w:rsidDel="00000000" w:rsidR="00000000" w:rsidRPr="00000000">
        <w:rPr>
          <w:rtl w:val="0"/>
        </w:rPr>
        <w:t xml:space="preserve">    &lt;/tr&gt;</w:t>
      </w:r>
    </w:p>
    <w:p w:rsidR="00000000" w:rsidDel="00000000" w:rsidP="00000000" w:rsidRDefault="00000000" w:rsidRPr="00000000" w14:paraId="00000076">
      <w:pPr>
        <w:rPr/>
      </w:pPr>
      <w:r w:rsidDel="00000000" w:rsidR="00000000" w:rsidRPr="00000000">
        <w:rPr>
          <w:rtl w:val="0"/>
        </w:rPr>
        <w:t xml:space="preserve">  &lt;/tbody&gt;</w:t>
      </w:r>
    </w:p>
    <w:p w:rsidR="00000000" w:rsidDel="00000000" w:rsidP="00000000" w:rsidRDefault="00000000" w:rsidRPr="00000000" w14:paraId="00000077">
      <w:pPr>
        <w:rPr/>
      </w:pPr>
      <w:r w:rsidDel="00000000" w:rsidR="00000000" w:rsidRPr="00000000">
        <w:rPr>
          <w:rtl w:val="0"/>
        </w:rPr>
        <w:t xml:space="preserve">&lt;/table&gt;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2.6 Lectura Integradora del Ciclo de Optimización</w:t>
      </w:r>
    </w:p>
    <w:p w:rsidR="00000000" w:rsidDel="00000000" w:rsidP="00000000" w:rsidRDefault="00000000" w:rsidRPr="00000000" w14:paraId="0000007A">
      <w:pPr>
        <w:rPr/>
      </w:pPr>
      <w:r w:rsidDel="00000000" w:rsidR="00000000" w:rsidRPr="00000000">
        <w:rPr>
          <w:rtl w:val="0"/>
        </w:rPr>
        <w:t xml:space="preserve">La transformación de la Prueba de Concepto original no se produjo mediante una única modificación masiva, sino mediante la optimización secuencial de **dos capas tecnológicas fuertemente acopladas**.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El primer ciclo evolutivo (comprendido entre los experimentos E0 y E11) se concentró de forma exclusiva en la **capa de recuperación**, resolviendo la brecha de conocimiento e incrementando drásticamente el recobrado de reglas generales ($+85\ \%$ relativo) a través de la estructuración del índice y el balanceo por cupos documentales. El segundo ciclo evolutivo (comprendido entre los experimentos E11 y E13) se enfocó en la **capa de respuesta y auditoría**, destrabando la capacidad de inferencia del modelo mediante una estructura formal de instrucciones que transformó un contexto rico en información en un veredicto estructurado, citable y reproducible.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De este modo, la solución maduró desde una arquitectura basada en aproximaciones empíricas simples hasta un sistema de soporte cognitivo gobernado por evidencia de ingeniería.</w:t>
      </w:r>
    </w:p>
    <w:p w:rsidR="00000000" w:rsidDel="00000000" w:rsidP="00000000" w:rsidRDefault="00000000" w:rsidRPr="00000000" w14:paraId="0000007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lang w:val="es"/>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before="100" w:lineRule="auto"/>
      <w:ind w:right="-41.99999999999932"/>
    </w:pPr>
    <w:rPr>
      <w:b w:val="1"/>
      <w:bCs w:val="1"/>
      <w:color w:val="45d7d3"/>
      <w:sz w:val="40"/>
      <w:szCs w:val="40"/>
    </w:rPr>
  </w:style>
  <w:style w:type="paragraph" w:styleId="Heading2">
    <w:name w:val="heading 2"/>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before="100" w:lineRule="auto"/>
      <w:ind w:right="-41.99999999999932"/>
    </w:pPr>
    <w:rPr>
      <w:color w:val="343342"/>
      <w:sz w:val="32"/>
      <w:szCs w:val="32"/>
    </w:rPr>
  </w:style>
  <w:style w:type="paragraph" w:styleId="Heading3">
    <w:name w:val="heading 3"/>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before="100" w:lineRule="auto"/>
      <w:ind w:right="-41.99999999999932"/>
    </w:pPr>
    <w:rPr>
      <w:color w:val="45d7d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240" w:lineRule="auto"/>
    </w:pPr>
    <w:rPr>
      <w:rFonts w:ascii="Nunito Light" w:cs="Nunito Light" w:eastAsia="Nunito Light" w:hAnsi="Nunito Light"/>
      <w:color w:val="45d7d3"/>
      <w:sz w:val="72"/>
      <w:szCs w:val="72"/>
    </w:rPr>
  </w:style>
  <w:style w:type="paragraph" w:styleId="Subtitle">
    <w:name w:val="Subtitle"/>
    <w:basedOn w:val="Normal"/>
    <w:next w:val="Normal"/>
    <w:pPr>
      <w:keepNext w:val="1"/>
      <w:keepLines w:val="1"/>
      <w:pageBreakBefore w:val="0"/>
      <w:spacing w:after="60" w:lineRule="auto"/>
    </w:pPr>
    <w:rPr>
      <w:color w:val="343342"/>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Light-regular.ttf"/><Relationship Id="rId6" Type="http://schemas.openxmlformats.org/officeDocument/2006/relationships/font" Target="fonts/NunitoLight-bold.ttf"/><Relationship Id="rId7" Type="http://schemas.openxmlformats.org/officeDocument/2006/relationships/font" Target="fonts/NunitoLight-italic.ttf"/><Relationship Id="rId8" Type="http://schemas.openxmlformats.org/officeDocument/2006/relationships/font" Target="fonts/Nunit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