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Capítulo 3: Arquitectura de la Solución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 arquitectura diseñada para este asistente de protestas náuticas responde a la necesidad de construir un sistema de Generación Aumentada por Recuperación (RAG) local, monolítico y determinista. El diseño final se consolida a partir de las optimizaciones validadas en las fases de experimentación, adoptando una estrategia de recuperación léxica parametrizada por cupos documentales (configuración E11) y una generación lógica guiada por ingeniería de instrucciones estructurada (configuración E13).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Para describir el sistema de forma integral, la solución se analiza desde dos perspectivas complementarias: una funcional (flujo de datos de extremo a extremo) y otra técnica (organización modular y componentes de software).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3.1 Arquitectura Funcional y Capas de Ejecución</w:t>
      </w:r>
    </w:p>
    <w:p w:rsidR="00000000" w:rsidDel="00000000" w:rsidP="00000000" w:rsidRDefault="00000000" w:rsidRPr="00000000" w14:paraId="0000000A">
      <w:pPr>
        <w:rPr/>
      </w:pPr>
      <w:r w:rsidDel="00000000" w:rsidR="00000000" w:rsidRPr="00000000">
        <w:rPr>
          <w:rtl w:val="0"/>
        </w:rPr>
        <w:t xml:space="preserve">La solución funcional se organiza en tres capas horizontales diferenciadas por sus responsabilidades de dominio y sus momentos de ejecución (ciclo offline, runtime interactivo y ciclo de evaluación). Esta división garantiza la modularidad y facilita el mantenimiento evolutivo del índice normativo.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&gt; **[CONFIGURACIÓN DE DIAGRAMA 3.1]**</w:t>
      </w:r>
    </w:p>
    <w:p w:rsidR="00000000" w:rsidDel="00000000" w:rsidP="00000000" w:rsidRDefault="00000000" w:rsidRPr="00000000" w14:paraId="0000000D">
      <w:pPr>
        <w:rPr/>
      </w:pPr>
      <w:r w:rsidDel="00000000" w:rsidR="00000000" w:rsidRPr="00000000">
        <w:rPr>
          <w:rtl w:val="0"/>
        </w:rPr>
        <w:t xml:space="preserve">&gt; * Archivo de origen: arquitectura-rag.drawio</w:t>
      </w:r>
    </w:p>
    <w:p w:rsidR="00000000" w:rsidDel="00000000" w:rsidP="00000000" w:rsidRDefault="00000000" w:rsidRPr="00000000" w14:paraId="0000000E">
      <w:pPr>
        <w:rPr/>
      </w:pPr>
      <w:r w:rsidDel="00000000" w:rsidR="00000000" w:rsidRPr="00000000">
        <w:rPr>
          <w:rtl w:val="0"/>
        </w:rPr>
        <w:t xml:space="preserve">&gt; * Enfoque conceptual: Flujo funcional de la solución RAG de punta a punta, ilustrando las fronteras entre procesos batch (offline), consultas en tiempo real y componentes de evaluación cruzada.</w:t>
      </w:r>
    </w:p>
    <w:p w:rsidR="00000000" w:rsidDel="00000000" w:rsidP="00000000" w:rsidRDefault="00000000" w:rsidRPr="00000000" w14:paraId="0000000F">
      <w:pPr>
        <w:rPr/>
      </w:pPr>
      <w:r w:rsidDel="00000000" w:rsidR="00000000" w:rsidRPr="00000000">
        <w:rPr>
          <w:rtl w:val="0"/>
        </w:rPr>
        <w:t xml:space="preserve">&gt; * Pie de figura: Figura 3.1: Diagrama funcional de la arquitectura RAG e interacciones entre capas operativas.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3.1.1 Capa 1: Preparación del Corpus (Proceso Offline)</w:t>
      </w:r>
    </w:p>
    <w:p w:rsidR="00000000" w:rsidDel="00000000" w:rsidP="00000000" w:rsidRDefault="00000000" w:rsidRPr="00000000" w14:paraId="00000012">
      <w:pPr>
        <w:rPr/>
      </w:pPr>
      <w:r w:rsidDel="00000000" w:rsidR="00000000" w:rsidRPr="00000000">
        <w:rPr>
          <w:rtl w:val="0"/>
        </w:rPr>
        <w:t xml:space="preserve">El objetivo fundamental de esta capa es transformar fuentes de información heterogéneas y de estructuración débil en un corpus digital estandarizado, sirviendo como la zapata de conocimiento del motor de recuperación.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Fuentes en Bruto y Estructuradas: El sistema interactúa con los PDF oficiales de World Sailing (Call Book y Case Book). Sin embargo, ante las limitaciones de granularidad detectadas en el análisis exploratorio de datos, el Reglamento de Regatas a Vela (RRS) y las definiciones esenciales se ingieren desde archivos estructurados en formato CSV. Esto asegura que cada registro equivalga exactamente a una norma citable.</w:t>
      </w:r>
    </w:p>
    <w:p w:rsidR="00000000" w:rsidDel="00000000" w:rsidP="00000000" w:rsidRDefault="00000000" w:rsidRPr="00000000" w14:paraId="00000015">
      <w:pPr>
        <w:rPr/>
      </w:pPr>
      <w:r w:rsidDel="00000000" w:rsidR="00000000" w:rsidRPr="00000000">
        <w:rPr>
          <w:rtl w:val="0"/>
        </w:rPr>
        <w:t xml:space="preserve">* Pipeline de Ingesta: Ejecutado a través de los componentes especializados build_corpus_processed.py y ensure_corpus_processed.py, este pipeline extrae, limpia y segmenta el texto fuera del tiempo de ejecución de la aplicación, guardando los resultados en archivos tipados JSONL dentro de la ruta corpus/processed/ (~707 chunks normalizados).</w:t>
      </w:r>
    </w:p>
    <w:p w:rsidR="00000000" w:rsidDel="00000000" w:rsidP="00000000" w:rsidRDefault="00000000" w:rsidRPr="00000000" w14:paraId="00000016">
      <w:pPr>
        <w:rPr/>
      </w:pPr>
      <w:r w:rsidDel="00000000" w:rsidR="00000000" w:rsidRPr="00000000">
        <w:rPr>
          <w:rtl w:val="0"/>
        </w:rPr>
        <w:t xml:space="preserve">* Índice en Memoria y Perfiles: Al iniciar la aplicación, la función load_corpus_chunks() deserializa los JSONL para expresar una lista indexable de objetos TextChunk directamente en la memoria RAM. El comportamiento de esta carga es gobernado por el módulo de gestión de perfiles (profiles.py), el cual permite alternar fluidamente entre la configuración base de desarrollo (baseline) y el entorno optimizado de producción (production).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3.1.2 Capa 2: Consulta RAG en Tiempo Real (Runtime)</w:t>
      </w:r>
    </w:p>
    <w:p w:rsidR="00000000" w:rsidDel="00000000" w:rsidP="00000000" w:rsidRDefault="00000000" w:rsidRPr="00000000" w14:paraId="00000019">
      <w:pPr>
        <w:rPr/>
      </w:pPr>
      <w:r w:rsidDel="00000000" w:rsidR="00000000" w:rsidRPr="00000000">
        <w:rPr>
          <w:rtl w:val="0"/>
        </w:rPr>
        <w:t xml:space="preserve">Constituye el camino productivo crítico de la aplicación donde se procesan los incidentes cargados por los usuarios finales (capitanes de equipos, jueces o comisiones de regata).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Interfaz de Usuario: Implementada mediante una interfaz ligera en Gradio (app.py), captura de forma independiente los relatos narrativos del barco protestante y del barco protestado.</w:t>
      </w:r>
    </w:p>
    <w:p w:rsidR="00000000" w:rsidDel="00000000" w:rsidP="00000000" w:rsidRDefault="00000000" w:rsidRPr="00000000" w14:paraId="0000001C">
      <w:pPr>
        <w:rPr/>
      </w:pPr>
      <w:r w:rsidDel="00000000" w:rsidR="00000000" w:rsidRPr="00000000">
        <w:rPr>
          <w:rtl w:val="0"/>
        </w:rPr>
        <w:t xml:space="preserve">* Orquestación del ProtestPipeline: Al recibir los datos, el orquestador unifica ambos testimonios en una única consulta semántica para potenciar el match de palabras clave. El componente CorpusRetriever ejecuta un filtrado léxico avanzado para seleccionar los 8 fragmentos de mayor relevancia conceptual (top_k = 8).</w:t>
      </w:r>
    </w:p>
    <w:p w:rsidR="00000000" w:rsidDel="00000000" w:rsidP="00000000" w:rsidRDefault="00000000" w:rsidRPr="00000000" w14:paraId="0000001D">
      <w:pPr>
        <w:rPr/>
      </w:pPr>
      <w:r w:rsidDel="00000000" w:rsidR="00000000" w:rsidRPr="00000000">
        <w:rPr>
          <w:rtl w:val="0"/>
        </w:rPr>
        <w:t xml:space="preserve">* Estrategia de Cupos Documentales: Para neutralizar la asimetría de volumen de datos detectada en el EDA, el retriever segmenta los slots de contexto de forma estricta: se asignan exactamente 2 espacios para reglas RRS, 3 para interpretaciones del Call Book, 2 para precedentes del Case Book y 1 para definiciones conceptuales (configuración de balanceo 2+3+2+1).</w:t>
      </w:r>
    </w:p>
    <w:p w:rsidR="00000000" w:rsidDel="00000000" w:rsidP="00000000" w:rsidRDefault="00000000" w:rsidRPr="00000000" w14:paraId="0000001E">
      <w:pPr>
        <w:rPr/>
      </w:pPr>
      <w:r w:rsidDel="00000000" w:rsidR="00000000" w:rsidRPr="00000000">
        <w:rPr>
          <w:rtl w:val="0"/>
        </w:rPr>
        <w:t xml:space="preserve">* Formateo e Inferencia Local: Los fragmentos se inyectan en el prompt estructurado v3 en español (diseñado bajo patrones de Cadena de Pensamiento o Chain-of-Thought). El cliente abstracto HTTPChatClient transmite este prompt formateado hacia la API de Ollama (que ejecuta localmente el modelo de lenguaje Qwen 2.5 14B), el cual devuelve el informe final estructurado en cuatro niveles, acompañado de una consola de actividad interactiva para auditar el contexto recuperado.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3.1.3 Capa 3: Evaluación Offline y Mitigación de Regresiones</w:t>
      </w:r>
    </w:p>
    <w:p w:rsidR="00000000" w:rsidDel="00000000" w:rsidP="00000000" w:rsidRDefault="00000000" w:rsidRPr="00000000" w14:paraId="00000021">
      <w:pPr>
        <w:rPr/>
      </w:pPr>
      <w:r w:rsidDel="00000000" w:rsidR="00000000" w:rsidRPr="00000000">
        <w:rPr>
          <w:rtl w:val="0"/>
        </w:rPr>
        <w:t xml:space="preserve">Esta capa proporciona un entorno de validación inmutable para medir la calidad de las respuestas y garantizar que las actualizaciones del código no deterioren las capacidades del asistente.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Golden Set: Basado en un conjunto estandarizado de verdades de campo (eval_set.json) que abarca 15 incidentes navales críticos debidamente documentados con sus dictámenes y reglas asociadas.</w:t>
      </w:r>
    </w:p>
    <w:p w:rsidR="00000000" w:rsidDel="00000000" w:rsidP="00000000" w:rsidRDefault="00000000" w:rsidRPr="00000000" w14:paraId="00000024">
      <w:pPr>
        <w:rPr/>
      </w:pPr>
      <w:r w:rsidDel="00000000" w:rsidR="00000000" w:rsidRPr="00000000">
        <w:rPr>
          <w:rtl w:val="0"/>
        </w:rPr>
        <w:t xml:space="preserve">* Automatización y Métricas: El módulo eval_run.py invoca los métodos internos del ProtestPipeline (analyze_trace()) de manera programática. Este script procesa el conjunto de casos y calcula métricas clave como F1-score de citas normativas, similitud de Jaccard y coincidencia de veredicto, exportando los resultados a eval/runs/.</w:t>
      </w:r>
    </w:p>
    <w:p w:rsidR="00000000" w:rsidDel="00000000" w:rsidP="00000000" w:rsidRDefault="00000000" w:rsidRPr="00000000" w14:paraId="00000025">
      <w:pPr>
        <w:rPr/>
      </w:pPr>
      <w:r w:rsidDel="00000000" w:rsidR="00000000" w:rsidRPr="00000000">
        <w:rPr>
          <w:rtl w:val="0"/>
        </w:rPr>
        <w:t xml:space="preserve">* Control de Regresión: Un entorno de pruebas automatizadas (test_production_profile.py) evalúa que los indicadores de la corrida actual no caigan por debajo de los umbrales de éxito establecidos para producción, protegiendo al sistema contra degradaciones funcionales.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3.2 Arquitectura Técnica y Organización de Módulos</w:t>
      </w:r>
    </w:p>
    <w:p w:rsidR="00000000" w:rsidDel="00000000" w:rsidP="00000000" w:rsidRDefault="00000000" w:rsidRPr="00000000" w14:paraId="0000002A">
      <w:pPr>
        <w:rPr/>
      </w:pPr>
      <w:r w:rsidDel="00000000" w:rsidR="00000000" w:rsidRPr="00000000">
        <w:rPr>
          <w:rtl w:val="0"/>
        </w:rPr>
        <w:t xml:space="preserve">La solución está estructurada bajo el patrón de un monolito en Python desplegado localmente. Se destaca por una arquitectura guiada por el código (code-first), donde los scripts interactivos actúan como interfaces delgadas que delegan el procesamiento core al paquete centralizado regatas_assistant.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&gt; **[CONFIGURACIÓN DE DIAGRAMA 3.2]**</w:t>
      </w:r>
    </w:p>
    <w:p w:rsidR="00000000" w:rsidDel="00000000" w:rsidP="00000000" w:rsidRDefault="00000000" w:rsidRPr="00000000" w14:paraId="0000002D">
      <w:pPr>
        <w:rPr/>
      </w:pPr>
      <w:r w:rsidDel="00000000" w:rsidR="00000000" w:rsidRPr="00000000">
        <w:rPr>
          <w:rtl w:val="0"/>
        </w:rPr>
        <w:t xml:space="preserve">&gt; * Archivo de origen: arquitectura-tecnica.drawio</w:t>
      </w:r>
    </w:p>
    <w:p w:rsidR="00000000" w:rsidDel="00000000" w:rsidP="00000000" w:rsidRDefault="00000000" w:rsidRPr="00000000" w14:paraId="0000002E">
      <w:pPr>
        <w:rPr/>
      </w:pPr>
      <w:r w:rsidDel="00000000" w:rsidR="00000000" w:rsidRPr="00000000">
        <w:rPr>
          <w:rtl w:val="0"/>
        </w:rPr>
        <w:t xml:space="preserve">&gt; * Enfoque conceptual: Organización técnica de los componentes de código, jerarquía de directorios en el sistema de archivos, flujos de importación y dependencias con servicios externos locales.</w:t>
      </w:r>
    </w:p>
    <w:p w:rsidR="00000000" w:rsidDel="00000000" w:rsidP="00000000" w:rsidRDefault="00000000" w:rsidRPr="00000000" w14:paraId="0000002F">
      <w:pPr>
        <w:rPr/>
      </w:pPr>
      <w:r w:rsidDel="00000000" w:rsidR="00000000" w:rsidRPr="00000000">
        <w:rPr>
          <w:rtl w:val="0"/>
        </w:rPr>
        <w:t xml:space="preserve">&gt; * Pie de figura: Figura 3.2: Estructura técnica de módulos, flujos de persistencia de datos y dependencias de ejecución.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3.2.1 Componentes de Software en regatas_assistant</w:t>
      </w:r>
    </w:p>
    <w:p w:rsidR="00000000" w:rsidDel="00000000" w:rsidP="00000000" w:rsidRDefault="00000000" w:rsidRPr="00000000" w14:paraId="00000032">
      <w:pPr>
        <w:rPr/>
      </w:pPr>
      <w:r w:rsidDel="00000000" w:rsidR="00000000" w:rsidRPr="00000000">
        <w:rPr>
          <w:rtl w:val="0"/>
        </w:rPr>
        <w:t xml:space="preserve">El paquete de software agrupa sus módulos de acuerdo con criterios de cohesión y separación de intereses técnicos: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Módulo de Orquestación (pipeline.py): Expone la clase coordinadora ProtestPipeline. Centraliza los flujos síncronos de análisis (analyze()) y de depuración (analyze_trace()), abstrayendo al resto de los scripts de los pasos intermedios de recuperación y formateo de texto.</w:t>
      </w:r>
    </w:p>
    <w:p w:rsidR="00000000" w:rsidDel="00000000" w:rsidP="00000000" w:rsidRDefault="00000000" w:rsidRPr="00000000" w14:paraId="00000035">
      <w:pPr>
        <w:rPr/>
      </w:pPr>
      <w:r w:rsidDel="00000000" w:rsidR="00000000" w:rsidRPr="00000000">
        <w:rPr>
          <w:rtl w:val="0"/>
        </w:rPr>
        <w:t xml:space="preserve">* Módulo de Configuración y Perfiles (config.py y profiles.py): Carga las variables de entorno operativas mediante la dataclass Settings. Almacena los perfiles tecnológicos de forma inmutable, erradicando el uso de parámetros fijos e introduciendo consistencia entre las corridas de evaluación y el backend interactivo.</w:t>
      </w:r>
    </w:p>
    <w:p w:rsidR="00000000" w:rsidDel="00000000" w:rsidP="00000000" w:rsidRDefault="00000000" w:rsidRPr="00000000" w14:paraId="00000036">
      <w:pPr>
        <w:rPr/>
      </w:pPr>
      <w:r w:rsidDel="00000000" w:rsidR="00000000" w:rsidRPr="00000000">
        <w:rPr>
          <w:rtl w:val="0"/>
        </w:rPr>
        <w:t xml:space="preserve">* Subsistema de Ingesta y Parsing (ingestion.py y corpus_processed.py): Define los objetos primitivos de transporte (clase TextChunk) y gestiona la lectura limpia de datos en disco, aislando la estructura física de los archivos del procesamiento en tiempo real.</w:t>
      </w:r>
    </w:p>
    <w:p w:rsidR="00000000" w:rsidDel="00000000" w:rsidP="00000000" w:rsidRDefault="00000000" w:rsidRPr="00000000" w14:paraId="00000037">
      <w:pPr>
        <w:rPr/>
      </w:pPr>
      <w:r w:rsidDel="00000000" w:rsidR="00000000" w:rsidRPr="00000000">
        <w:rPr>
          <w:rtl w:val="0"/>
        </w:rPr>
        <w:t xml:space="preserve">* Subsistema de Recuperación (rag/retriever.py y rag/embeddings_*.py): Implementa el motor de búsqueda CorpusRetriever. Su arquitectura modular desacopla la estrategia de indexación, posibilitando el intercambio de backends de búsqueda (v.g. léxico nativo, embedding HTTP o enfoques híbridos con ordenamiento RRF) sin alterar al cliente orquestador.</w:t>
      </w:r>
    </w:p>
    <w:p w:rsidR="00000000" w:rsidDel="00000000" w:rsidP="00000000" w:rsidRDefault="00000000" w:rsidRPr="00000000" w14:paraId="00000038">
      <w:pPr>
        <w:rPr/>
      </w:pPr>
      <w:r w:rsidDel="00000000" w:rsidR="00000000" w:rsidRPr="00000000">
        <w:rPr>
          <w:rtl w:val="0"/>
        </w:rPr>
        <w:t xml:space="preserve">* Subsistema de Comunicación LLM (llm/): Utiliza una interfaz abstracta (LLMClient) para desvincular al sistema de proveedores específicos. Cuenta con una implementación de producción para streaming HTTP compatible con la API de OpenAI (chat_http_client.py) y un emulador local (stub.py) útil para agilizar pruebas de integración sin conectividad de red.</w:t>
      </w:r>
    </w:p>
    <w:p w:rsidR="00000000" w:rsidDel="00000000" w:rsidP="00000000" w:rsidRDefault="00000000" w:rsidRPr="00000000" w14:paraId="00000039">
      <w:pPr>
        <w:rPr/>
      </w:pPr>
      <w:r w:rsidDel="00000000" w:rsidR="00000000" w:rsidRPr="00000000">
        <w:rPr>
          <w:rtl w:val="0"/>
        </w:rPr>
        <w:t xml:space="preserve">* Subsistema de Evaluación (eval/): Contiene la lógica analítica profunda del sistema (runners, normalizadores de texto y parsers de expresiones regulares encargados de evaluar de forma automatizada las citas y veredictos emitidos por el LLM).</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lang w:val="es"/>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b w:val="1"/>
      <w:bCs w:val="1"/>
      <w:color w:val="45d7d3"/>
      <w:sz w:val="40"/>
      <w:szCs w:val="40"/>
    </w:rPr>
  </w:style>
  <w:style w:type="paragraph" w:styleId="Heading2">
    <w:name w:val="heading 2"/>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color w:val="343342"/>
      <w:sz w:val="32"/>
      <w:szCs w:val="32"/>
    </w:rPr>
  </w:style>
  <w:style w:type="paragraph" w:styleId="Heading3">
    <w:name w:val="heading 3"/>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before="100" w:lineRule="auto"/>
      <w:ind w:right="-41.99999999999932"/>
    </w:pPr>
    <w:rPr>
      <w:color w:val="45d7d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240" w:lineRule="auto"/>
    </w:pPr>
    <w:rPr>
      <w:rFonts w:ascii="Nunito Light" w:cs="Nunito Light" w:eastAsia="Nunito Light" w:hAnsi="Nunito Light"/>
      <w:color w:val="45d7d3"/>
      <w:sz w:val="72"/>
      <w:szCs w:val="72"/>
    </w:rPr>
  </w:style>
  <w:style w:type="paragraph" w:styleId="Subtitle">
    <w:name w:val="Subtitle"/>
    <w:basedOn w:val="Normal"/>
    <w:next w:val="Normal"/>
    <w:pPr>
      <w:keepNext w:val="1"/>
      <w:keepLines w:val="1"/>
      <w:pageBreakBefore w:val="0"/>
      <w:spacing w:after="60" w:lineRule="auto"/>
    </w:pPr>
    <w:rPr>
      <w:color w:val="343342"/>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Light-regular.ttf"/><Relationship Id="rId6" Type="http://schemas.openxmlformats.org/officeDocument/2006/relationships/font" Target="fonts/NunitoLight-bold.ttf"/><Relationship Id="rId7" Type="http://schemas.openxmlformats.org/officeDocument/2006/relationships/font" Target="fonts/NunitoLight-italic.ttf"/><Relationship Id="rId8" Type="http://schemas.openxmlformats.org/officeDocument/2006/relationships/font" Target="fonts/Nuni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