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uhuz5gn7alxn" w:id="0"/>
      <w:bookmarkEnd w:id="0"/>
      <w:r w:rsidDel="00000000" w:rsidR="00000000" w:rsidRPr="00000000">
        <w:rPr>
          <w:rtl w:val="0"/>
        </w:rPr>
        <w:t xml:space="preserve">5.4 Análisis de Divergencia Métrica: Reglas RRS frente a Códigos TR CALL</w:t>
      </w:r>
    </w:p>
    <w:p w:rsidR="00000000" w:rsidDel="00000000" w:rsidP="00000000" w:rsidRDefault="00000000" w:rsidRPr="00000000" w14:paraId="00000002">
      <w:pPr>
        <w:rPr/>
      </w:pPr>
      <w:r w:rsidDel="00000000" w:rsidR="00000000" w:rsidRPr="00000000">
        <w:rPr>
          <w:rtl w:val="0"/>
        </w:rPr>
        <w:t xml:space="preserve">Durante la transición tecnológica desde la línea base histórica (E0) hacia el perfil de recuperación productivo (E11), los indicadores cuantitativos de recobrado exhibieron un comportamiento divergente, evolucionando en direcciones opuestas[cite: 9]:</w:t>
      </w:r>
    </w:p>
    <w:p w:rsidR="00000000" w:rsidDel="00000000" w:rsidP="00000000" w:rsidRDefault="00000000" w:rsidRPr="00000000" w14:paraId="00000003">
      <w:pPr>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4">
            <w:pPr>
              <w:spacing w:after="300" w:before="160" w:lineRule="auto"/>
              <w:jc w:val="left"/>
              <w:rPr>
                <w:sz w:val="20"/>
                <w:szCs w:val="20"/>
              </w:rPr>
            </w:pPr>
            <w:r w:rsidDel="00000000" w:rsidR="00000000" w:rsidRPr="00000000">
              <w:rPr>
                <w:b w:val="1"/>
                <w:bCs w:val="1"/>
                <w:sz w:val="20"/>
                <w:szCs w:val="20"/>
                <w:rtl w:val="0"/>
              </w:rPr>
              <w:t xml:space="preserve">Indicador Analizado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5">
            <w:pPr>
              <w:spacing w:after="300" w:before="160" w:lineRule="auto"/>
              <w:jc w:val="center"/>
              <w:rPr>
                <w:sz w:val="20"/>
                <w:szCs w:val="20"/>
              </w:rPr>
            </w:pPr>
            <w:r w:rsidDel="00000000" w:rsidR="00000000" w:rsidRPr="00000000">
              <w:rPr>
                <w:b w:val="1"/>
                <w:bCs w:val="1"/>
                <w:sz w:val="20"/>
                <w:szCs w:val="20"/>
                <w:rtl w:val="0"/>
              </w:rPr>
              <w:t xml:space="preserve">Línea Base (E0)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6">
            <w:pPr>
              <w:spacing w:after="300" w:before="160" w:lineRule="auto"/>
              <w:jc w:val="center"/>
              <w:rPr>
                <w:sz w:val="20"/>
                <w:szCs w:val="20"/>
              </w:rPr>
            </w:pPr>
            <w:r w:rsidDel="00000000" w:rsidR="00000000" w:rsidRPr="00000000">
              <w:rPr>
                <w:b w:val="1"/>
                <w:bCs w:val="1"/>
                <w:sz w:val="20"/>
                <w:szCs w:val="20"/>
                <w:rtl w:val="0"/>
              </w:rPr>
              <w:t xml:space="preserve">Perfil Productivo (E11)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7">
            <w:pPr>
              <w:spacing w:after="300" w:before="160" w:lineRule="auto"/>
              <w:jc w:val="center"/>
              <w:rPr>
                <w:sz w:val="20"/>
                <w:szCs w:val="20"/>
              </w:rPr>
            </w:pPr>
            <w:r w:rsidDel="00000000" w:rsidR="00000000" w:rsidRPr="00000000">
              <w:rPr>
                <w:b w:val="1"/>
                <w:bCs w:val="1"/>
                <w:sz w:val="20"/>
                <w:szCs w:val="20"/>
                <w:rtl w:val="0"/>
              </w:rPr>
              <w:t xml:space="preserve">Variación Relativa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8">
            <w:pPr>
              <w:spacing w:after="300" w:before="160" w:lineRule="auto"/>
              <w:jc w:val="left"/>
              <w:rPr>
                <w:sz w:val="20"/>
                <w:szCs w:val="20"/>
              </w:rPr>
            </w:pPr>
            <w:r w:rsidDel="00000000" w:rsidR="00000000" w:rsidRPr="00000000">
              <w:rPr>
                <w:b w:val="1"/>
                <w:bCs w:val="1"/>
                <w:sz w:val="20"/>
                <w:szCs w:val="20"/>
                <w:rtl w:val="0"/>
              </w:rPr>
              <w:t xml:space="preserve">Recall@8 Reglas RRS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9">
            <w:pPr>
              <w:spacing w:after="300" w:before="160" w:lineRule="auto"/>
              <w:jc w:val="center"/>
              <w:rPr>
                <w:sz w:val="20"/>
                <w:szCs w:val="20"/>
              </w:rPr>
            </w:pPr>
            <w:r w:rsidDel="00000000" w:rsidR="00000000" w:rsidRPr="00000000">
              <w:rPr>
                <w:sz w:val="20"/>
                <w:szCs w:val="20"/>
                <w:rtl w:val="0"/>
              </w:rPr>
              <w:t xml:space="preserve">0.41</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A">
            <w:pPr>
              <w:spacing w:after="300" w:before="160" w:lineRule="auto"/>
              <w:jc w:val="center"/>
              <w:rPr>
                <w:sz w:val="20"/>
                <w:szCs w:val="20"/>
              </w:rPr>
            </w:pPr>
            <w:r w:rsidDel="00000000" w:rsidR="00000000" w:rsidRPr="00000000">
              <w:rPr>
                <w:sz w:val="20"/>
                <w:szCs w:val="20"/>
                <w:rtl w:val="0"/>
              </w:rPr>
              <w:t xml:space="preserve">0.76</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B">
            <w:pPr>
              <w:spacing w:after="300" w:before="160" w:lineRule="auto"/>
              <w:jc w:val="center"/>
              <w:rPr>
                <w:sz w:val="20"/>
                <w:szCs w:val="20"/>
              </w:rPr>
            </w:pPr>
            <w:r w:rsidDel="00000000" w:rsidR="00000000" w:rsidRPr="00000000">
              <w:rPr>
                <w:b w:val="1"/>
                <w:bCs w:val="1"/>
                <w:color w:val="008000"/>
                <w:sz w:val="20"/>
                <w:szCs w:val="20"/>
                <w:rtl w:val="0"/>
              </w:rPr>
              <w:t xml:space="preserve">+85.3 %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C">
            <w:pPr>
              <w:spacing w:after="300" w:before="160" w:lineRule="auto"/>
              <w:jc w:val="left"/>
              <w:rPr>
                <w:sz w:val="20"/>
                <w:szCs w:val="20"/>
              </w:rPr>
            </w:pPr>
            <w:r w:rsidDel="00000000" w:rsidR="00000000" w:rsidRPr="00000000">
              <w:rPr>
                <w:b w:val="1"/>
                <w:bCs w:val="1"/>
                <w:sz w:val="20"/>
                <w:szCs w:val="20"/>
                <w:rtl w:val="0"/>
              </w:rPr>
              <w:t xml:space="preserve">Recall@8 Códigos TR 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D">
            <w:pPr>
              <w:spacing w:after="300" w:before="160" w:lineRule="auto"/>
              <w:jc w:val="center"/>
              <w:rPr>
                <w:sz w:val="20"/>
                <w:szCs w:val="20"/>
              </w:rPr>
            </w:pPr>
            <w:r w:rsidDel="00000000" w:rsidR="00000000" w:rsidRPr="00000000">
              <w:rPr>
                <w:sz w:val="20"/>
                <w:szCs w:val="20"/>
                <w:rtl w:val="0"/>
              </w:rPr>
              <w:t xml:space="preserve">0.27</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E">
            <w:pPr>
              <w:spacing w:after="300" w:before="160" w:lineRule="auto"/>
              <w:jc w:val="center"/>
              <w:rPr>
                <w:sz w:val="20"/>
                <w:szCs w:val="20"/>
              </w:rPr>
            </w:pPr>
            <w:r w:rsidDel="00000000" w:rsidR="00000000" w:rsidRPr="00000000">
              <w:rPr>
                <w:sz w:val="20"/>
                <w:szCs w:val="20"/>
                <w:rtl w:val="0"/>
              </w:rPr>
              <w:t xml:space="preserve">0.20</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F">
            <w:pPr>
              <w:spacing w:after="300" w:before="160" w:lineRule="auto"/>
              <w:jc w:val="center"/>
              <w:rPr>
                <w:sz w:val="20"/>
                <w:szCs w:val="20"/>
              </w:rPr>
            </w:pPr>
            <w:r w:rsidDel="00000000" w:rsidR="00000000" w:rsidRPr="00000000">
              <w:rPr>
                <w:b w:val="1"/>
                <w:bCs w:val="1"/>
                <w:color w:val="ff0000"/>
                <w:sz w:val="20"/>
                <w:szCs w:val="20"/>
                <w:rtl w:val="0"/>
              </w:rPr>
              <w:t xml:space="preserve">-25.9 %</w:t>
            </w:r>
            <w:r w:rsidDel="00000000" w:rsidR="00000000" w:rsidRPr="00000000">
              <w:rPr>
                <w:rtl w:val="0"/>
              </w:rPr>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Este fenómeno no responde a una degradación operativa del pipeline, sino a una decisión de diseño de ingeniería orientada a reestructurar la composición del índice runtime y modificar el algoritmo de asignación de los fragmentos recuperados en el contexto[cite: 9].</w:t>
      </w:r>
    </w:p>
    <w:p w:rsidR="00000000" w:rsidDel="00000000" w:rsidP="00000000" w:rsidRDefault="00000000" w:rsidRPr="00000000" w14:paraId="00000012">
      <w:pPr>
        <w:pStyle w:val="Heading3"/>
        <w:rPr/>
      </w:pPr>
      <w:bookmarkStart w:colFirst="0" w:colLast="0" w:name="_rb6tcxgk4hf7" w:id="1"/>
      <w:bookmarkEnd w:id="1"/>
      <w:r w:rsidDel="00000000" w:rsidR="00000000" w:rsidRPr="00000000">
        <w:rPr>
          <w:rtl w:val="0"/>
        </w:rPr>
        <w:t xml:space="preserve">5.4.1 Justificación Técnica del Crecimiento en Reglas RRS</w:t>
      </w:r>
    </w:p>
    <w:p w:rsidR="00000000" w:rsidDel="00000000" w:rsidP="00000000" w:rsidRDefault="00000000" w:rsidRPr="00000000" w14:paraId="00000013">
      <w:pPr>
        <w:rPr/>
      </w:pPr>
      <w:r w:rsidDel="00000000" w:rsidR="00000000" w:rsidRPr="00000000">
        <w:rPr>
          <w:rtl w:val="0"/>
        </w:rPr>
        <w:t xml:space="preserve">La marcada optimización en el recobrado de artículos del Reglamento de Regatas a Vela ($R@k$ de 0.41 a 0.76) se fundamenta en tres factores de diseño estructural[cite: 9]:</w:t>
      </w:r>
    </w:p>
    <w:p w:rsidR="00000000" w:rsidDel="00000000" w:rsidP="00000000" w:rsidRDefault="00000000" w:rsidRPr="00000000" w14:paraId="00000014">
      <w:pPr>
        <w:numPr>
          <w:ilvl w:val="0"/>
          <w:numId w:val="2"/>
        </w:numPr>
        <w:spacing w:after="0" w:afterAutospacing="0"/>
        <w:ind w:left="720" w:hanging="360"/>
      </w:pPr>
      <w:r w:rsidDel="00000000" w:rsidR="00000000" w:rsidRPr="00000000">
        <w:rPr>
          <w:b w:val="1"/>
          <w:bCs w:val="1"/>
          <w:rtl w:val="0"/>
        </w:rPr>
        <w:t xml:space="preserve">Inclusión y Coherencia de la Unidad Normativa:</w:t>
      </w:r>
      <w:r w:rsidDel="00000000" w:rsidR="00000000" w:rsidRPr="00000000">
        <w:rPr>
          <w:rtl w:val="0"/>
        </w:rPr>
        <w:t xml:space="preserve"> En la línea base E0, el RRS estructurado se encontraba ausente del índice, limitando de forma matemática su recuperación[cite: 9]. Al adoptar el formato JSONL alimentado por CSV, se garantizó que cada fragmento correspondiera exactamente a una regla individualizada, respetando las conclusiones de granularidad semántica extraídas en la fase exploratoria[cite: 9].</w:t>
      </w:r>
    </w:p>
    <w:p w:rsidR="00000000" w:rsidDel="00000000" w:rsidP="00000000" w:rsidRDefault="00000000" w:rsidRPr="00000000" w14:paraId="00000015">
      <w:pPr>
        <w:numPr>
          <w:ilvl w:val="0"/>
          <w:numId w:val="2"/>
        </w:numPr>
        <w:spacing w:after="0" w:afterAutospacing="0"/>
        <w:ind w:left="720" w:hanging="360"/>
      </w:pPr>
      <w:r w:rsidDel="00000000" w:rsidR="00000000" w:rsidRPr="00000000">
        <w:rPr>
          <w:b w:val="1"/>
          <w:bCs w:val="1"/>
          <w:rtl w:val="0"/>
        </w:rPr>
        <w:t xml:space="preserve">Enriquecimiento de Metadatos:</w:t>
      </w:r>
      <w:r w:rsidDel="00000000" w:rsidR="00000000" w:rsidRPr="00000000">
        <w:rPr>
          <w:rtl w:val="0"/>
        </w:rPr>
        <w:t xml:space="preserve"> La inyección de campos estructurados (encabezados descriptivos, secciones náuticas y referencias cruzadas explícitas) proveyó al recuperador léxico de una superficie textual robusta, facilitando la identificación de las normas aplicables aun cuando las consultas de los regatistas se formulasen en lenguaje natural coloquial[cite: 9].</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Contención de la Dilución Conceptual:</w:t>
      </w:r>
      <w:r w:rsidDel="00000000" w:rsidR="00000000" w:rsidRPr="00000000">
        <w:rPr>
          <w:rtl w:val="0"/>
        </w:rPr>
        <w:t xml:space="preserve"> La política de cupos impidió que el volumen masivo del </w:t>
      </w:r>
      <w:r w:rsidDel="00000000" w:rsidR="00000000" w:rsidRPr="00000000">
        <w:rPr>
          <w:i w:val="1"/>
          <w:iCs w:val="1"/>
          <w:rtl w:val="0"/>
        </w:rPr>
        <w:t xml:space="preserve">Case Book</w:t>
      </w:r>
      <w:r w:rsidDel="00000000" w:rsidR="00000000" w:rsidRPr="00000000">
        <w:rPr>
          <w:rtl w:val="0"/>
        </w:rPr>
        <w:t xml:space="preserve"> saturara las posiciones del </w:t>
      </w:r>
      <w:r w:rsidDel="00000000" w:rsidR="00000000" w:rsidRPr="00000000">
        <w:rPr>
          <w:i w:val="1"/>
          <w:iCs w:val="1"/>
          <w:rtl w:val="0"/>
        </w:rPr>
        <w:t xml:space="preserve">top-8</w:t>
      </w:r>
      <w:r w:rsidDel="00000000" w:rsidR="00000000" w:rsidRPr="00000000">
        <w:rPr>
          <w:rtl w:val="0"/>
        </w:rPr>
        <w:t xml:space="preserve">, reservando ranuras exclusivas y deterministas para el reglamento base[cite: 9].</w:t>
      </w:r>
    </w:p>
    <w:p w:rsidR="00000000" w:rsidDel="00000000" w:rsidP="00000000" w:rsidRDefault="00000000" w:rsidRPr="00000000" w14:paraId="00000017">
      <w:pPr>
        <w:pStyle w:val="Heading3"/>
        <w:rPr/>
      </w:pPr>
      <w:bookmarkStart w:colFirst="0" w:colLast="0" w:name="_dppku0cafhsf" w:id="2"/>
      <w:bookmarkEnd w:id="2"/>
      <w:r w:rsidDel="00000000" w:rsidR="00000000" w:rsidRPr="00000000">
        <w:rPr>
          <w:rtl w:val="0"/>
        </w:rPr>
        <w:t xml:space="preserve">5.4.2 Factores Determinantes en la Contracción de Códigos TR CALL</w:t>
      </w:r>
    </w:p>
    <w:p w:rsidR="00000000" w:rsidDel="00000000" w:rsidP="00000000" w:rsidRDefault="00000000" w:rsidRPr="00000000" w14:paraId="00000018">
      <w:pPr>
        <w:rPr/>
      </w:pPr>
      <w:r w:rsidDel="00000000" w:rsidR="00000000" w:rsidRPr="00000000">
        <w:rPr>
          <w:rtl w:val="0"/>
        </w:rPr>
        <w:t xml:space="preserve">Por el contrario, la disminución en el recobrado de interpretaciones específicas del </w:t>
      </w:r>
      <w:r w:rsidDel="00000000" w:rsidR="00000000" w:rsidRPr="00000000">
        <w:rPr>
          <w:i w:val="1"/>
          <w:iCs w:val="1"/>
          <w:rtl w:val="0"/>
        </w:rPr>
        <w:t xml:space="preserve">Call Book</w:t>
      </w:r>
      <w:r w:rsidDel="00000000" w:rsidR="00000000" w:rsidRPr="00000000">
        <w:rPr>
          <w:rtl w:val="0"/>
        </w:rPr>
        <w:t xml:space="preserve"> ($R@k$ de 0.27 a 0.20) responde a las restricciones de hardware y compromisos semánticos asumidos en la arquitectura de producción[cite: 9]:</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b w:val="1"/>
          <w:bCs w:val="1"/>
          <w:rtl w:val="0"/>
        </w:rPr>
        <w:t xml:space="preserve">Abandono del Procesamiento PDF en Bruto:</w:t>
      </w:r>
      <w:r w:rsidDel="00000000" w:rsidR="00000000" w:rsidRPr="00000000">
        <w:rPr>
          <w:rtl w:val="0"/>
        </w:rPr>
        <w:t xml:space="preserve"> La línea base E0 indexaba las páginas completas del </w:t>
      </w:r>
      <w:r w:rsidDel="00000000" w:rsidR="00000000" w:rsidRPr="00000000">
        <w:rPr>
          <w:i w:val="1"/>
          <w:iCs w:val="1"/>
          <w:rtl w:val="0"/>
        </w:rPr>
        <w:t xml:space="preserve">Call Book</w:t>
      </w:r>
      <w:r w:rsidDel="00000000" w:rsidR="00000000" w:rsidRPr="00000000">
        <w:rPr>
          <w:rtl w:val="0"/>
        </w:rPr>
        <w:t xml:space="preserve"> en PDF plano, lo que aportaba una ventana de vocabulario contextual más extensa para el match léxico tradicional[cite: 9]. La migración hacia registros JSONL atómicos compactó drásticamente la superficie de texto disponible por cada </w:t>
      </w:r>
      <w:r w:rsidDel="00000000" w:rsidR="00000000" w:rsidRPr="00000000">
        <w:rPr>
          <w:i w:val="1"/>
          <w:iCs w:val="1"/>
          <w:rtl w:val="0"/>
        </w:rPr>
        <w:t xml:space="preserve">Call</w:t>
      </w:r>
      <w:r w:rsidDel="00000000" w:rsidR="00000000" w:rsidRPr="00000000">
        <w:rPr>
          <w:rtl w:val="0"/>
        </w:rPr>
        <w:t xml:space="preserve">[cite: 9].</w:t>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b w:val="1"/>
          <w:bCs w:val="1"/>
          <w:rtl w:val="0"/>
        </w:rPr>
        <w:t xml:space="preserve">Techo Riguroso de Cupos y Competencia de Slots:</w:t>
      </w:r>
      <w:r w:rsidDel="00000000" w:rsidR="00000000" w:rsidRPr="00000000">
        <w:rPr>
          <w:rtl w:val="0"/>
        </w:rPr>
        <w:t xml:space="preserve"> Bajo el perfil E11, el algoritmo limita a un máximo de </w:t>
      </w:r>
      <w:r w:rsidDel="00000000" w:rsidR="00000000" w:rsidRPr="00000000">
        <w:rPr>
          <w:b w:val="1"/>
          <w:bCs w:val="1"/>
          <w:rtl w:val="0"/>
        </w:rPr>
        <w:t xml:space="preserve">3 slots sobre 8</w:t>
      </w:r>
      <w:r w:rsidDel="00000000" w:rsidR="00000000" w:rsidRPr="00000000">
        <w:rPr>
          <w:rtl w:val="0"/>
        </w:rPr>
        <w:t xml:space="preserve"> la presencia de fragmentos del </w:t>
      </w:r>
      <w:r w:rsidDel="00000000" w:rsidR="00000000" w:rsidRPr="00000000">
        <w:rPr>
          <w:i w:val="1"/>
          <w:iCs w:val="1"/>
          <w:rtl w:val="0"/>
        </w:rPr>
        <w:t xml:space="preserve">Call Book</w:t>
      </w:r>
      <w:r w:rsidDel="00000000" w:rsidR="00000000" w:rsidRPr="00000000">
        <w:rPr>
          <w:rtl w:val="0"/>
        </w:rPr>
        <w:t xml:space="preserve">[cite: 9]. Ante consultas con fuerte solapamiento terminológico general, las reglas del RRS y los precedentes del </w:t>
      </w:r>
      <w:r w:rsidDel="00000000" w:rsidR="00000000" w:rsidRPr="00000000">
        <w:rPr>
          <w:i w:val="1"/>
          <w:iCs w:val="1"/>
          <w:rtl w:val="0"/>
        </w:rPr>
        <w:t xml:space="preserve">Case Book</w:t>
      </w:r>
      <w:r w:rsidDel="00000000" w:rsidR="00000000" w:rsidRPr="00000000">
        <w:rPr>
          <w:rtl w:val="0"/>
        </w:rPr>
        <w:t xml:space="preserve"> compiten de forma directa por la atención léxica, desplazando en ocasiones a los códigos esperados fuera de las ranuras permitidas[cite: 9].</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Asimetría Idiomática y Superficie de Match:</w:t>
      </w:r>
      <w:r w:rsidDel="00000000" w:rsidR="00000000" w:rsidRPr="00000000">
        <w:rPr>
          <w:rtl w:val="0"/>
        </w:rPr>
        <w:t xml:space="preserve"> El motor de producción opera bajo un enfoque léxico puro[cite: 9]. Los códigos indexados del </w:t>
      </w:r>
      <w:r w:rsidDel="00000000" w:rsidR="00000000" w:rsidRPr="00000000">
        <w:rPr>
          <w:i w:val="1"/>
          <w:iCs w:val="1"/>
          <w:rtl w:val="0"/>
        </w:rPr>
        <w:t xml:space="preserve">Call Book</w:t>
      </w:r>
      <w:r w:rsidDel="00000000" w:rsidR="00000000" w:rsidRPr="00000000">
        <w:rPr>
          <w:rtl w:val="0"/>
        </w:rPr>
        <w:t xml:space="preserve"> (etiquetas cortas como </w:t>
      </w:r>
      <w:r w:rsidDel="00000000" w:rsidR="00000000" w:rsidRPr="00000000">
        <w:rPr>
          <w:i w:val="1"/>
          <w:iCs w:val="1"/>
          <w:rtl w:val="0"/>
        </w:rPr>
        <w:t xml:space="preserve">B2</w:t>
      </w:r>
      <w:r w:rsidDel="00000000" w:rsidR="00000000" w:rsidRPr="00000000">
        <w:rPr>
          <w:rtl w:val="0"/>
        </w:rPr>
        <w:t xml:space="preserve">, </w:t>
      </w:r>
      <w:r w:rsidDel="00000000" w:rsidR="00000000" w:rsidRPr="00000000">
        <w:rPr>
          <w:i w:val="1"/>
          <w:iCs w:val="1"/>
          <w:rtl w:val="0"/>
        </w:rPr>
        <w:t xml:space="preserve">E1</w:t>
      </w:r>
      <w:r w:rsidDel="00000000" w:rsidR="00000000" w:rsidRPr="00000000">
        <w:rPr>
          <w:rtl w:val="0"/>
        </w:rPr>
        <w:t xml:space="preserve"> o </w:t>
      </w:r>
      <w:r w:rsidDel="00000000" w:rsidR="00000000" w:rsidRPr="00000000">
        <w:rPr>
          <w:i w:val="1"/>
          <w:iCs w:val="1"/>
          <w:rtl w:val="0"/>
        </w:rPr>
        <w:t xml:space="preserve">J5</w:t>
      </w:r>
      <w:r w:rsidDel="00000000" w:rsidR="00000000" w:rsidRPr="00000000">
        <w:rPr>
          <w:rtl w:val="0"/>
        </w:rPr>
        <w:t xml:space="preserve">) y sus definiciones técnicas en inglés ofrecen una superficie gramatical reducida frente a las narrativas largas y subjetivas en español cargadas por los usuarios, acentuando la brecha léxica entre ambos idiomas[cite: 9].</w:t>
      </w:r>
    </w:p>
    <w:p w:rsidR="00000000" w:rsidDel="00000000" w:rsidP="00000000" w:rsidRDefault="00000000" w:rsidRPr="00000000" w14:paraId="0000001C">
      <w:pPr>
        <w:pStyle w:val="Heading3"/>
        <w:rPr/>
      </w:pPr>
      <w:bookmarkStart w:colFirst="0" w:colLast="0" w:name="_1ceypf8szwsc" w:id="3"/>
      <w:bookmarkEnd w:id="3"/>
      <w:r w:rsidDel="00000000" w:rsidR="00000000" w:rsidRPr="00000000">
        <w:rPr>
          <w:rtl w:val="0"/>
        </w:rPr>
        <w:t xml:space="preserve">5.4.3 Fundamentación del Compromiso de Diseño (</w:t>
      </w:r>
      <w:r w:rsidDel="00000000" w:rsidR="00000000" w:rsidRPr="00000000">
        <w:rPr>
          <w:i w:val="1"/>
          <w:iCs w:val="1"/>
          <w:rtl w:val="0"/>
        </w:rPr>
        <w:t xml:space="preserve">Trade-Off</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En el contexto de una Prueba de Concepto orientada a optimizar el arbitraje de alto rendimiento, esta divergencia constituye un </w:t>
      </w:r>
      <w:r w:rsidDel="00000000" w:rsidR="00000000" w:rsidRPr="00000000">
        <w:rPr>
          <w:i w:val="1"/>
          <w:iCs w:val="1"/>
          <w:rtl w:val="0"/>
        </w:rPr>
        <w:t xml:space="preserve">trade-off</w:t>
      </w:r>
      <w:r w:rsidDel="00000000" w:rsidR="00000000" w:rsidRPr="00000000">
        <w:rPr>
          <w:rtl w:val="0"/>
        </w:rPr>
        <w:t xml:space="preserve"> de ingeniería plenamente justificado y validado por los objetivos del negocio[cite: 9]:</w:t>
      </w:r>
    </w:p>
    <w:p w:rsidR="00000000" w:rsidDel="00000000" w:rsidP="00000000" w:rsidRDefault="00000000" w:rsidRPr="00000000" w14:paraId="0000001E">
      <w:pPr>
        <w:numPr>
          <w:ilvl w:val="0"/>
          <w:numId w:val="1"/>
        </w:numPr>
        <w:spacing w:after="0" w:afterAutospacing="0"/>
        <w:ind w:left="720" w:hanging="360"/>
      </w:pPr>
      <w:r w:rsidDel="00000000" w:rsidR="00000000" w:rsidRPr="00000000">
        <w:rPr>
          <w:rtl w:val="0"/>
        </w:rPr>
        <w:t xml:space="preserve">El verdadero cuello de botella cognitivo del Comité de Protestas reside en </w:t>
      </w:r>
      <w:r w:rsidDel="00000000" w:rsidR="00000000" w:rsidRPr="00000000">
        <w:rPr>
          <w:b w:val="1"/>
          <w:bCs w:val="1"/>
          <w:rtl w:val="0"/>
        </w:rPr>
        <w:t xml:space="preserve">localizar y arrastrar las reglas base del RRS</w:t>
      </w:r>
      <w:r w:rsidDel="00000000" w:rsidR="00000000" w:rsidRPr="00000000">
        <w:rPr>
          <w:rtl w:val="0"/>
        </w:rPr>
        <w:t xml:space="preserve">[cite: 9]. Sin la presencia de estas normas fundamentales en el prompt, el modelo de lenguaje carece de los axiomas legales necesarios para iniciar el razonamiento de la cadena de pensamiento, invalidando cualquier resolución posterior[cite: 9].</w:t>
      </w:r>
    </w:p>
    <w:p w:rsidR="00000000" w:rsidDel="00000000" w:rsidP="00000000" w:rsidRDefault="00000000" w:rsidRPr="00000000" w14:paraId="0000001F">
      <w:pPr>
        <w:numPr>
          <w:ilvl w:val="0"/>
          <w:numId w:val="1"/>
        </w:numPr>
        <w:spacing w:after="0" w:afterAutospacing="0"/>
        <w:ind w:left="720" w:hanging="360"/>
      </w:pPr>
      <w:r w:rsidDel="00000000" w:rsidR="00000000" w:rsidRPr="00000000">
        <w:rPr>
          <w:rtl w:val="0"/>
        </w:rPr>
        <w:t xml:space="preserve">La ganancia cuantitativa y cualitativa en el recobrado del RRS ($+85.3\ %$ relativo) supera con creces la contracción moderada experimentada en la familia del Call Book ($-25.9\ %$)[cite: 9].</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Los experimentos alternativos que buscaron maximizar el indicador de los </w:t>
      </w:r>
      <w:r w:rsidDel="00000000" w:rsidR="00000000" w:rsidRPr="00000000">
        <w:rPr>
          <w:i w:val="1"/>
          <w:iCs w:val="1"/>
          <w:rtl w:val="0"/>
        </w:rPr>
        <w:t xml:space="preserve">Calls</w:t>
      </w:r>
      <w:r w:rsidDel="00000000" w:rsidR="00000000" w:rsidRPr="00000000">
        <w:rPr>
          <w:rtl w:val="0"/>
        </w:rPr>
        <w:t xml:space="preserve"> reintroduciendo los PDF masivos (corridas E6 y E7) pagaron el costo de sobrecargar el índice runtime y deprimir el recobrado de las reglas por debajo de los pisos de calidad exigidos[cite: 9].</w:t>
      </w:r>
    </w:p>
    <w:p w:rsidR="00000000" w:rsidDel="00000000" w:rsidP="00000000" w:rsidRDefault="00000000" w:rsidRPr="00000000" w14:paraId="00000021">
      <w:pPr>
        <w:rPr/>
      </w:pPr>
      <w:r w:rsidDel="00000000" w:rsidR="00000000" w:rsidRPr="00000000">
        <w:rPr>
          <w:rtl w:val="0"/>
        </w:rPr>
        <w:t xml:space="preserve">Por lo tanto, la configuración E11 establece un equilibrio óptimo: aunque opera con un margen estrecho respecto al piso inmutable de regresión ($\text{Umbral } CALL \ge 0.18$), consolida un entorno de conocimiento balanceado y compacto (707 chunks frente a los más de 1 300 del índice masivo)[cite: 9], garantizando que el LLM reciba una diversidad normativa adecuada para resolver de forma correcta la protesta[cite: 9].</w:t>
      </w:r>
    </w:p>
    <w:p w:rsidR="00000000" w:rsidDel="00000000" w:rsidP="00000000" w:rsidRDefault="00000000" w:rsidRPr="00000000" w14:paraId="00000022">
      <w:pPr>
        <w:pStyle w:val="Heading3"/>
        <w:rPr/>
      </w:pPr>
      <w:bookmarkStart w:colFirst="0" w:colLast="0" w:name="_7bzvwlk8qfn" w:id="4"/>
      <w:bookmarkEnd w:id="4"/>
      <w:r w:rsidDel="00000000" w:rsidR="00000000" w:rsidRPr="00000000">
        <w:rPr>
          <w:rtl w:val="0"/>
        </w:rPr>
        <w:t xml:space="preserve">5.4.4 Palancas de Optimización para Desarrollos Evolutivos</w:t>
      </w:r>
    </w:p>
    <w:p w:rsidR="00000000" w:rsidDel="00000000" w:rsidP="00000000" w:rsidRDefault="00000000" w:rsidRPr="00000000" w14:paraId="00000023">
      <w:pPr>
        <w:rPr/>
      </w:pPr>
      <w:r w:rsidDel="00000000" w:rsidR="00000000" w:rsidRPr="00000000">
        <w:rPr>
          <w:rtl w:val="0"/>
        </w:rPr>
        <w:t xml:space="preserve">Para mitigar esta brecha lingüística en fases futuras del proyecto sin comprometer la fortaleza actual del reglamento, se identifican cuatro vectores de optimización arquitectónica[cite: 9]:</w:t>
      </w:r>
    </w:p>
    <w:p w:rsidR="00000000" w:rsidDel="00000000" w:rsidP="00000000" w:rsidRDefault="00000000" w:rsidRPr="00000000" w14:paraId="00000024">
      <w:pPr>
        <w:rPr/>
      </w:pPr>
      <w:r w:rsidDel="00000000" w:rsidR="00000000" w:rsidRPr="00000000">
        <w:rPr>
          <w:rtl w:val="0"/>
        </w:rPr>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5">
            <w:pPr>
              <w:spacing w:after="160" w:before="160" w:lineRule="auto"/>
              <w:jc w:val="left"/>
              <w:rPr>
                <w:sz w:val="18"/>
                <w:szCs w:val="18"/>
              </w:rPr>
            </w:pPr>
            <w:r w:rsidDel="00000000" w:rsidR="00000000" w:rsidRPr="00000000">
              <w:rPr>
                <w:b w:val="1"/>
                <w:bCs w:val="1"/>
                <w:sz w:val="18"/>
                <w:szCs w:val="18"/>
                <w:rtl w:val="0"/>
              </w:rPr>
              <w:t xml:space="preserve">Palanca Tecnológica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6">
            <w:pPr>
              <w:spacing w:after="160" w:before="160" w:lineRule="auto"/>
              <w:jc w:val="left"/>
              <w:rPr>
                <w:sz w:val="18"/>
                <w:szCs w:val="18"/>
              </w:rPr>
            </w:pPr>
            <w:r w:rsidDel="00000000" w:rsidR="00000000" w:rsidRPr="00000000">
              <w:rPr>
                <w:b w:val="1"/>
                <w:bCs w:val="1"/>
                <w:sz w:val="18"/>
                <w:szCs w:val="18"/>
                <w:rtl w:val="0"/>
              </w:rPr>
              <w:t xml:space="preserve">Estrategia de Implementación Sugerida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7">
            <w:pPr>
              <w:spacing w:after="160" w:before="160" w:lineRule="auto"/>
              <w:jc w:val="left"/>
              <w:rPr>
                <w:sz w:val="18"/>
                <w:szCs w:val="18"/>
              </w:rPr>
            </w:pPr>
            <w:r w:rsidDel="00000000" w:rsidR="00000000" w:rsidRPr="00000000">
              <w:rPr>
                <w:b w:val="1"/>
                <w:bCs w:val="1"/>
                <w:sz w:val="18"/>
                <w:szCs w:val="18"/>
                <w:rtl w:val="0"/>
              </w:rPr>
              <w:t xml:space="preserve">Rebalanceo de Cupos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8">
            <w:pPr>
              <w:spacing w:after="160" w:before="160" w:lineRule="auto"/>
              <w:jc w:val="left"/>
              <w:rPr>
                <w:sz w:val="18"/>
                <w:szCs w:val="18"/>
              </w:rPr>
            </w:pPr>
            <w:r w:rsidDel="00000000" w:rsidR="00000000" w:rsidRPr="00000000">
              <w:rPr>
                <w:sz w:val="18"/>
                <w:szCs w:val="18"/>
                <w:rtl w:val="0"/>
              </w:rPr>
              <w:t xml:space="preserve">Simular y evaluar de forma automatizada un reparto alternativo de ranuras (v.g. 2 RRS + 4 CALL + 1 CASE + 1 DEF) mediante regresión síncrona[cite: 9].</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9">
            <w:pPr>
              <w:spacing w:after="160" w:before="160" w:lineRule="auto"/>
              <w:jc w:val="left"/>
              <w:rPr>
                <w:sz w:val="18"/>
                <w:szCs w:val="18"/>
              </w:rPr>
            </w:pPr>
            <w:r w:rsidDel="00000000" w:rsidR="00000000" w:rsidRPr="00000000">
              <w:rPr>
                <w:b w:val="1"/>
                <w:bCs w:val="1"/>
                <w:sz w:val="18"/>
                <w:szCs w:val="18"/>
                <w:rtl w:val="0"/>
              </w:rPr>
              <w:t xml:space="preserve">Enriquecimiento de Chunks 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A">
            <w:pPr>
              <w:spacing w:after="160" w:before="160" w:lineRule="auto"/>
              <w:jc w:val="left"/>
              <w:rPr>
                <w:sz w:val="18"/>
                <w:szCs w:val="18"/>
              </w:rPr>
            </w:pPr>
            <w:r w:rsidDel="00000000" w:rsidR="00000000" w:rsidRPr="00000000">
              <w:rPr>
                <w:sz w:val="18"/>
                <w:szCs w:val="18"/>
                <w:rtl w:val="0"/>
              </w:rPr>
              <w:t xml:space="preserve">Inyectar metadatos descriptivos en español dentro de las unidades processed de calls, incorporando transcripciones de las señales visuales y procedimientos asociados[cite: 9].</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B">
            <w:pPr>
              <w:spacing w:after="160" w:before="160" w:lineRule="auto"/>
              <w:jc w:val="left"/>
              <w:rPr>
                <w:sz w:val="18"/>
                <w:szCs w:val="18"/>
              </w:rPr>
            </w:pPr>
            <w:r w:rsidDel="00000000" w:rsidR="00000000" w:rsidRPr="00000000">
              <w:rPr>
                <w:b w:val="1"/>
                <w:bCs w:val="1"/>
                <w:sz w:val="18"/>
                <w:szCs w:val="18"/>
                <w:rtl w:val="0"/>
              </w:rPr>
              <w:t xml:space="preserve">Indexación PDF Selectiva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C">
            <w:pPr>
              <w:spacing w:after="160" w:before="160" w:lineRule="auto"/>
              <w:jc w:val="left"/>
              <w:rPr>
                <w:sz w:val="18"/>
                <w:szCs w:val="18"/>
              </w:rPr>
            </w:pPr>
            <w:r w:rsidDel="00000000" w:rsidR="00000000" w:rsidRPr="00000000">
              <w:rPr>
                <w:sz w:val="18"/>
                <w:szCs w:val="18"/>
                <w:rtl w:val="0"/>
              </w:rPr>
              <w:t xml:space="preserve">Reintroducir exclusivamente el documento del Call Book en formato PDF bajo una cuota rígida de contexto, evitando la dilución semántica del Case Book masivo[cite: 9].</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D">
            <w:pPr>
              <w:spacing w:after="160" w:before="160" w:lineRule="auto"/>
              <w:jc w:val="left"/>
              <w:rPr>
                <w:sz w:val="18"/>
                <w:szCs w:val="18"/>
              </w:rPr>
            </w:pPr>
            <w:r w:rsidDel="00000000" w:rsidR="00000000" w:rsidRPr="00000000">
              <w:rPr>
                <w:b w:val="1"/>
                <w:bCs w:val="1"/>
                <w:sz w:val="18"/>
                <w:szCs w:val="18"/>
                <w:rtl w:val="0"/>
              </w:rPr>
              <w:t xml:space="preserve">Activación del Motor Híbrido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E">
            <w:pPr>
              <w:spacing w:after="160" w:before="160" w:lineRule="auto"/>
              <w:jc w:val="left"/>
              <w:rPr>
                <w:sz w:val="18"/>
                <w:szCs w:val="18"/>
              </w:rPr>
            </w:pPr>
            <w:r w:rsidDel="00000000" w:rsidR="00000000" w:rsidRPr="00000000">
              <w:rPr>
                <w:sz w:val="18"/>
                <w:szCs w:val="18"/>
                <w:rtl w:val="0"/>
              </w:rPr>
              <w:t xml:space="preserve">Habilitar el backend semántico con fallback (experimento E16) para corregir fallos léxicos en relatos complejos, tras resolver la inestabilidad del generador[cite: 9].</w:t>
            </w:r>
          </w:p>
        </w:tc>
      </w:tr>
    </w:tbl>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before="100" w:lineRule="auto"/>
      <w:ind w:right="-41.99999999999932"/>
    </w:pPr>
    <w:rPr>
      <w:b w:val="1"/>
      <w:bCs w:val="1"/>
      <w:color w:val="45d7d3"/>
      <w:sz w:val="40"/>
      <w:szCs w:val="40"/>
    </w:rPr>
  </w:style>
  <w:style w:type="paragraph" w:styleId="Heading2">
    <w:name w:val="heading 2"/>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before="100" w:lineRule="auto"/>
      <w:ind w:right="-41.99999999999932"/>
    </w:pPr>
    <w:rPr>
      <w:color w:val="343342"/>
      <w:sz w:val="32"/>
      <w:szCs w:val="32"/>
    </w:rPr>
  </w:style>
  <w:style w:type="paragraph" w:styleId="Heading3">
    <w:name w:val="heading 3"/>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before="100" w:lineRule="auto"/>
      <w:ind w:right="-41.99999999999932"/>
    </w:pPr>
    <w:rPr>
      <w:color w:val="45d7d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240" w:lineRule="auto"/>
    </w:pPr>
    <w:rPr>
      <w:rFonts w:ascii="Nunito Light" w:cs="Nunito Light" w:eastAsia="Nunito Light" w:hAnsi="Nunito Light"/>
      <w:color w:val="45d7d3"/>
      <w:sz w:val="72"/>
      <w:szCs w:val="72"/>
    </w:rPr>
  </w:style>
  <w:style w:type="paragraph" w:styleId="Subtitle">
    <w:name w:val="Subtitle"/>
    <w:basedOn w:val="Normal"/>
    <w:next w:val="Normal"/>
    <w:pPr>
      <w:keepNext w:val="1"/>
      <w:keepLines w:val="1"/>
      <w:pageBreakBefore w:val="0"/>
      <w:spacing w:after="60" w:lineRule="auto"/>
    </w:pPr>
    <w:rPr>
      <w:color w:val="343342"/>
      <w:sz w:val="40"/>
      <w:szCs w:val="4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unitoLight-regular.ttf"/><Relationship Id="rId6" Type="http://schemas.openxmlformats.org/officeDocument/2006/relationships/font" Target="fonts/NunitoLight-bold.ttf"/><Relationship Id="rId7" Type="http://schemas.openxmlformats.org/officeDocument/2006/relationships/font" Target="fonts/NunitoLight-italic.ttf"/><Relationship Id="rId8" Type="http://schemas.openxmlformats.org/officeDocument/2006/relationships/font" Target="fonts/Nunit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