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1C50" w14:textId="1DBCE5BC" w:rsidR="00E67C05" w:rsidRDefault="00E67C05">
      <w:pPr>
        <w:rPr>
          <w:b/>
          <w:bCs/>
          <w:sz w:val="36"/>
          <w:szCs w:val="36"/>
        </w:rPr>
      </w:pPr>
      <w:r w:rsidRPr="00E67C05">
        <w:rPr>
          <w:b/>
          <w:bCs/>
          <w:sz w:val="36"/>
          <w:szCs w:val="36"/>
        </w:rPr>
        <w:t xml:space="preserve">Azure </w:t>
      </w:r>
      <w:proofErr w:type="spellStart"/>
      <w:r w:rsidRPr="00E67C05">
        <w:rPr>
          <w:b/>
          <w:bCs/>
          <w:sz w:val="36"/>
          <w:szCs w:val="36"/>
        </w:rPr>
        <w:t>Overview</w:t>
      </w:r>
      <w:proofErr w:type="spellEnd"/>
    </w:p>
    <w:p w14:paraId="72C625C0" w14:textId="36A32964" w:rsidR="00E67C05" w:rsidRDefault="00E67C05">
      <w:pPr>
        <w:rPr>
          <w:b/>
          <w:bCs/>
          <w:sz w:val="36"/>
          <w:szCs w:val="36"/>
        </w:rPr>
      </w:pPr>
    </w:p>
    <w:p w14:paraId="2C77B7DF" w14:textId="65779E2D" w:rsidR="00E67C05" w:rsidRDefault="00E67C05">
      <w:pPr>
        <w:rPr>
          <w:b/>
          <w:bCs/>
        </w:rPr>
      </w:pPr>
      <w:r>
        <w:rPr>
          <w:b/>
          <w:bCs/>
        </w:rPr>
        <w:t xml:space="preserve">General </w:t>
      </w:r>
      <w:proofErr w:type="spellStart"/>
      <w:r>
        <w:rPr>
          <w:b/>
          <w:bCs/>
        </w:rPr>
        <w:t>information</w:t>
      </w:r>
      <w:proofErr w:type="spellEnd"/>
      <w:r>
        <w:rPr>
          <w:b/>
          <w:bCs/>
        </w:rPr>
        <w:t>:</w:t>
      </w:r>
    </w:p>
    <w:p w14:paraId="38FC0FF2" w14:textId="38FC8A76" w:rsidR="00E67C05" w:rsidRDefault="00E67C05">
      <w:pPr>
        <w:rPr>
          <w:b/>
          <w:bCs/>
        </w:rPr>
      </w:pPr>
    </w:p>
    <w:p w14:paraId="4B5898A6" w14:textId="54D140C0" w:rsidR="00E67C05" w:rsidRDefault="00E67C05">
      <w:pPr>
        <w:rPr>
          <w:lang w:val="en-US"/>
        </w:rPr>
      </w:pPr>
      <w:r w:rsidRPr="00E67C05">
        <w:rPr>
          <w:lang w:val="en-US"/>
        </w:rPr>
        <w:t>Instance family types on Azure:</w:t>
      </w:r>
    </w:p>
    <w:p w14:paraId="7AADE3A2" w14:textId="7C02AE8A" w:rsidR="00E67C05" w:rsidRDefault="00E67C05">
      <w:pPr>
        <w:rPr>
          <w:lang w:val="en-US"/>
        </w:rPr>
      </w:pPr>
    </w:p>
    <w:tbl>
      <w:tblPr>
        <w:tblStyle w:val="Tabellenraster"/>
        <w:tblW w:w="9292" w:type="dxa"/>
        <w:tblLook w:val="04A0" w:firstRow="1" w:lastRow="0" w:firstColumn="1" w:lastColumn="0" w:noHBand="0" w:noVBand="1"/>
      </w:tblPr>
      <w:tblGrid>
        <w:gridCol w:w="4646"/>
        <w:gridCol w:w="4646"/>
      </w:tblGrid>
      <w:tr w:rsidR="00E67C05" w14:paraId="68A26F02" w14:textId="77777777" w:rsidTr="00E67C05">
        <w:trPr>
          <w:trHeight w:val="496"/>
        </w:trPr>
        <w:tc>
          <w:tcPr>
            <w:tcW w:w="4646" w:type="dxa"/>
          </w:tcPr>
          <w:p w14:paraId="24015EA3" w14:textId="46DD202F" w:rsidR="00E67C05" w:rsidRPr="00E67C05" w:rsidRDefault="00E67C05">
            <w:pPr>
              <w:rPr>
                <w:b/>
                <w:bCs/>
                <w:lang w:val="en-US"/>
              </w:rPr>
            </w:pPr>
            <w:r w:rsidRPr="00E67C05">
              <w:rPr>
                <w:b/>
                <w:bCs/>
                <w:lang w:val="en-US"/>
              </w:rPr>
              <w:t xml:space="preserve">Instance Family </w:t>
            </w:r>
          </w:p>
        </w:tc>
        <w:tc>
          <w:tcPr>
            <w:tcW w:w="4646" w:type="dxa"/>
          </w:tcPr>
          <w:p w14:paraId="63986689" w14:textId="76C6F8C1" w:rsidR="00E67C05" w:rsidRPr="00E67C05" w:rsidRDefault="00E67C05">
            <w:pPr>
              <w:rPr>
                <w:b/>
                <w:bCs/>
                <w:lang w:val="en-US"/>
              </w:rPr>
            </w:pPr>
            <w:r w:rsidRPr="00E67C05">
              <w:rPr>
                <w:b/>
                <w:bCs/>
                <w:lang w:val="en-US"/>
              </w:rPr>
              <w:t>Description</w:t>
            </w:r>
          </w:p>
        </w:tc>
      </w:tr>
      <w:tr w:rsidR="00E67C05" w14:paraId="7BBCC806" w14:textId="77777777" w:rsidTr="00E67C05">
        <w:trPr>
          <w:trHeight w:val="418"/>
        </w:trPr>
        <w:tc>
          <w:tcPr>
            <w:tcW w:w="4646" w:type="dxa"/>
          </w:tcPr>
          <w:p w14:paraId="3A898661" w14:textId="06956E76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A-Series</w:t>
            </w:r>
          </w:p>
        </w:tc>
        <w:tc>
          <w:tcPr>
            <w:tcW w:w="4646" w:type="dxa"/>
          </w:tcPr>
          <w:p w14:paraId="48F50B3C" w14:textId="42AAC78B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Entry level VMs for dev/test</w:t>
            </w:r>
          </w:p>
        </w:tc>
      </w:tr>
      <w:tr w:rsidR="00E67C05" w14:paraId="51C78D1D" w14:textId="77777777" w:rsidTr="00E67C05">
        <w:trPr>
          <w:trHeight w:val="484"/>
        </w:trPr>
        <w:tc>
          <w:tcPr>
            <w:tcW w:w="4646" w:type="dxa"/>
          </w:tcPr>
          <w:p w14:paraId="1452761C" w14:textId="789C5DF9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B-Series</w:t>
            </w:r>
          </w:p>
        </w:tc>
        <w:tc>
          <w:tcPr>
            <w:tcW w:w="4646" w:type="dxa"/>
          </w:tcPr>
          <w:p w14:paraId="3A89C140" w14:textId="5F442BFA" w:rsidR="00E67C05" w:rsidRDefault="00E67C05" w:rsidP="00E67C05">
            <w:pPr>
              <w:rPr>
                <w:lang w:val="en-US"/>
              </w:rPr>
            </w:pPr>
            <w:proofErr w:type="spellStart"/>
            <w:r w:rsidRPr="00E67C05">
              <w:rPr>
                <w:lang w:val="en-US"/>
              </w:rPr>
              <w:t>Economical</w:t>
            </w:r>
            <w:proofErr w:type="spellEnd"/>
            <w:r w:rsidRPr="00E67C05">
              <w:rPr>
                <w:lang w:val="en-US"/>
              </w:rPr>
              <w:t xml:space="preserve"> </w:t>
            </w:r>
            <w:proofErr w:type="spellStart"/>
            <w:r w:rsidRPr="00E67C05">
              <w:rPr>
                <w:lang w:val="en-US"/>
              </w:rPr>
              <w:t>burstable</w:t>
            </w:r>
            <w:proofErr w:type="spellEnd"/>
            <w:r w:rsidRPr="00E67C05">
              <w:rPr>
                <w:lang w:val="en-US"/>
              </w:rPr>
              <w:t xml:space="preserve"> VM</w:t>
            </w:r>
            <w:r>
              <w:rPr>
                <w:lang w:val="en-US"/>
              </w:rPr>
              <w:t>s</w:t>
            </w:r>
          </w:p>
        </w:tc>
      </w:tr>
      <w:tr w:rsidR="00E67C05" w14:paraId="5C29E769" w14:textId="77777777" w:rsidTr="00E67C05">
        <w:trPr>
          <w:trHeight w:val="493"/>
        </w:trPr>
        <w:tc>
          <w:tcPr>
            <w:tcW w:w="4646" w:type="dxa"/>
          </w:tcPr>
          <w:p w14:paraId="6F7D7BB5" w14:textId="0FB187C6" w:rsidR="00E67C05" w:rsidRPr="00E67C05" w:rsidRDefault="00E67C05">
            <w:pPr>
              <w:rPr>
                <w:b/>
                <w:bCs/>
                <w:lang w:val="en-US"/>
              </w:rPr>
            </w:pPr>
            <w:r w:rsidRPr="00E67C05">
              <w:rPr>
                <w:b/>
                <w:bCs/>
                <w:lang w:val="en-US"/>
              </w:rPr>
              <w:t>D-Series</w:t>
            </w:r>
          </w:p>
        </w:tc>
        <w:tc>
          <w:tcPr>
            <w:tcW w:w="4646" w:type="dxa"/>
          </w:tcPr>
          <w:p w14:paraId="3BFFB75B" w14:textId="555809A9" w:rsidR="00E67C05" w:rsidRPr="00E67C05" w:rsidRDefault="00E67C05" w:rsidP="00E67C05">
            <w:pPr>
              <w:rPr>
                <w:b/>
                <w:bCs/>
                <w:lang w:val="en-US"/>
              </w:rPr>
            </w:pPr>
            <w:r w:rsidRPr="00E67C05">
              <w:rPr>
                <w:b/>
                <w:bCs/>
                <w:lang w:val="en-US"/>
              </w:rPr>
              <w:t>General purpose compute</w:t>
            </w:r>
          </w:p>
        </w:tc>
      </w:tr>
      <w:tr w:rsidR="00E67C05" w14:paraId="31A7D67C" w14:textId="77777777" w:rsidTr="00E67C05">
        <w:trPr>
          <w:trHeight w:val="461"/>
        </w:trPr>
        <w:tc>
          <w:tcPr>
            <w:tcW w:w="4646" w:type="dxa"/>
          </w:tcPr>
          <w:p w14:paraId="4E9FA0AD" w14:textId="5FA7A414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E-Series</w:t>
            </w:r>
          </w:p>
        </w:tc>
        <w:tc>
          <w:tcPr>
            <w:tcW w:w="4646" w:type="dxa"/>
          </w:tcPr>
          <w:p w14:paraId="5CE3FE83" w14:textId="20DCA843" w:rsidR="00E67C05" w:rsidRDefault="00E67C05" w:rsidP="00E67C05">
            <w:pPr>
              <w:rPr>
                <w:lang w:val="en-US"/>
              </w:rPr>
            </w:pPr>
            <w:r w:rsidRPr="00E67C05">
              <w:rPr>
                <w:lang w:val="en-US"/>
              </w:rPr>
              <w:t>Optimized for in-memory application</w:t>
            </w:r>
            <w:r>
              <w:rPr>
                <w:lang w:val="en-US"/>
              </w:rPr>
              <w:t>s</w:t>
            </w:r>
          </w:p>
        </w:tc>
      </w:tr>
      <w:tr w:rsidR="00E67C05" w14:paraId="4BC610F0" w14:textId="77777777" w:rsidTr="00E67C05">
        <w:trPr>
          <w:trHeight w:val="444"/>
        </w:trPr>
        <w:tc>
          <w:tcPr>
            <w:tcW w:w="4646" w:type="dxa"/>
          </w:tcPr>
          <w:p w14:paraId="2CDB4597" w14:textId="3770C727" w:rsidR="00E67C05" w:rsidRPr="00E67C05" w:rsidRDefault="00E67C05">
            <w:pPr>
              <w:rPr>
                <w:b/>
                <w:bCs/>
                <w:lang w:val="en-US"/>
              </w:rPr>
            </w:pPr>
            <w:r w:rsidRPr="00E67C05">
              <w:rPr>
                <w:b/>
                <w:bCs/>
                <w:lang w:val="en-US"/>
              </w:rPr>
              <w:t>F-Series</w:t>
            </w:r>
          </w:p>
        </w:tc>
        <w:tc>
          <w:tcPr>
            <w:tcW w:w="4646" w:type="dxa"/>
          </w:tcPr>
          <w:p w14:paraId="73096DCC" w14:textId="4C2FE3B6" w:rsidR="00E67C05" w:rsidRPr="00E67C05" w:rsidRDefault="00E67C05" w:rsidP="00E67C05">
            <w:pPr>
              <w:rPr>
                <w:b/>
                <w:bCs/>
                <w:lang w:val="en-US"/>
              </w:rPr>
            </w:pPr>
            <w:r w:rsidRPr="00E67C05">
              <w:rPr>
                <w:b/>
                <w:bCs/>
                <w:lang w:val="en-US"/>
              </w:rPr>
              <w:t>Compute optimized virtual machines</w:t>
            </w:r>
          </w:p>
        </w:tc>
      </w:tr>
      <w:tr w:rsidR="00E67C05" w14:paraId="23D9D9CD" w14:textId="77777777" w:rsidTr="00E67C05">
        <w:trPr>
          <w:trHeight w:val="718"/>
        </w:trPr>
        <w:tc>
          <w:tcPr>
            <w:tcW w:w="4646" w:type="dxa"/>
          </w:tcPr>
          <w:p w14:paraId="2E0CCD7B" w14:textId="609330A0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G-Series</w:t>
            </w:r>
          </w:p>
        </w:tc>
        <w:tc>
          <w:tcPr>
            <w:tcW w:w="4646" w:type="dxa"/>
          </w:tcPr>
          <w:p w14:paraId="3C33A1FA" w14:textId="643FA0FF" w:rsidR="00E67C05" w:rsidRPr="00E67C05" w:rsidRDefault="00E67C05" w:rsidP="00E67C05">
            <w:pPr>
              <w:rPr>
                <w:lang w:val="en-US"/>
              </w:rPr>
            </w:pPr>
            <w:r w:rsidRPr="00E67C05">
              <w:rPr>
                <w:lang w:val="en-US"/>
              </w:rPr>
              <w:t>Memory and storage optimized virtual machines</w:t>
            </w:r>
          </w:p>
        </w:tc>
      </w:tr>
      <w:tr w:rsidR="00E67C05" w14:paraId="71E23731" w14:textId="77777777" w:rsidTr="00E67C05">
        <w:trPr>
          <w:trHeight w:val="718"/>
        </w:trPr>
        <w:tc>
          <w:tcPr>
            <w:tcW w:w="4646" w:type="dxa"/>
          </w:tcPr>
          <w:p w14:paraId="36B008D3" w14:textId="56E01207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H-Series</w:t>
            </w:r>
          </w:p>
        </w:tc>
        <w:tc>
          <w:tcPr>
            <w:tcW w:w="4646" w:type="dxa"/>
          </w:tcPr>
          <w:p w14:paraId="1A4F5E52" w14:textId="67A7C276" w:rsidR="00E67C05" w:rsidRPr="00E67C05" w:rsidRDefault="00E67C05" w:rsidP="00E67C05">
            <w:pPr>
              <w:rPr>
                <w:lang w:val="en-US"/>
              </w:rPr>
            </w:pPr>
            <w:r w:rsidRPr="00E67C05">
              <w:rPr>
                <w:lang w:val="en-US"/>
              </w:rPr>
              <w:t>High Performance Computing virtual machines</w:t>
            </w:r>
          </w:p>
        </w:tc>
      </w:tr>
      <w:tr w:rsidR="00E67C05" w14:paraId="17E33FE4" w14:textId="77777777" w:rsidTr="00E67C05">
        <w:trPr>
          <w:trHeight w:val="482"/>
        </w:trPr>
        <w:tc>
          <w:tcPr>
            <w:tcW w:w="4646" w:type="dxa"/>
          </w:tcPr>
          <w:p w14:paraId="6B8E50F7" w14:textId="1F83A151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L-Series</w:t>
            </w:r>
          </w:p>
        </w:tc>
        <w:tc>
          <w:tcPr>
            <w:tcW w:w="4646" w:type="dxa"/>
          </w:tcPr>
          <w:p w14:paraId="4DC4F476" w14:textId="29DC0482" w:rsidR="00E67C05" w:rsidRPr="00E67C05" w:rsidRDefault="00E67C05" w:rsidP="00E67C05">
            <w:pPr>
              <w:rPr>
                <w:lang w:val="en-US"/>
              </w:rPr>
            </w:pPr>
            <w:r w:rsidRPr="00E67C05">
              <w:rPr>
                <w:lang w:val="en-US"/>
              </w:rPr>
              <w:t>Storage optimized virtual machines</w:t>
            </w:r>
          </w:p>
        </w:tc>
      </w:tr>
      <w:tr w:rsidR="00E67C05" w14:paraId="0DCA2CA0" w14:textId="77777777" w:rsidTr="00E67C05">
        <w:trPr>
          <w:trHeight w:val="404"/>
        </w:trPr>
        <w:tc>
          <w:tcPr>
            <w:tcW w:w="4646" w:type="dxa"/>
          </w:tcPr>
          <w:p w14:paraId="6A09B70B" w14:textId="0E8A6FD7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M-Series</w:t>
            </w:r>
          </w:p>
        </w:tc>
        <w:tc>
          <w:tcPr>
            <w:tcW w:w="4646" w:type="dxa"/>
          </w:tcPr>
          <w:p w14:paraId="11BFFFEF" w14:textId="33EA1238" w:rsidR="00E67C05" w:rsidRPr="00E67C05" w:rsidRDefault="00E67C05" w:rsidP="00E67C05">
            <w:pPr>
              <w:rPr>
                <w:lang w:val="en-US"/>
              </w:rPr>
            </w:pPr>
            <w:r w:rsidRPr="00E67C05">
              <w:rPr>
                <w:lang w:val="en-US"/>
              </w:rPr>
              <w:t>Memory optimized virtual machines</w:t>
            </w:r>
          </w:p>
        </w:tc>
      </w:tr>
      <w:tr w:rsidR="00E67C05" w14:paraId="6E1171CB" w14:textId="77777777" w:rsidTr="00E67C05">
        <w:trPr>
          <w:trHeight w:val="423"/>
        </w:trPr>
        <w:tc>
          <w:tcPr>
            <w:tcW w:w="4646" w:type="dxa"/>
          </w:tcPr>
          <w:p w14:paraId="7475667F" w14:textId="0D1AA59F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Mv2-Series</w:t>
            </w:r>
          </w:p>
        </w:tc>
        <w:tc>
          <w:tcPr>
            <w:tcW w:w="4646" w:type="dxa"/>
          </w:tcPr>
          <w:p w14:paraId="56EA1AC2" w14:textId="1240D2A4" w:rsidR="00E67C05" w:rsidRPr="00E67C05" w:rsidRDefault="00E67C05" w:rsidP="00E67C05">
            <w:pPr>
              <w:rPr>
                <w:lang w:val="en-US"/>
              </w:rPr>
            </w:pPr>
            <w:proofErr w:type="spellStart"/>
            <w:r w:rsidRPr="00E67C05">
              <w:rPr>
                <w:lang w:val="en-US"/>
              </w:rPr>
              <w:t>Largest</w:t>
            </w:r>
            <w:proofErr w:type="spellEnd"/>
            <w:r w:rsidRPr="00E67C05">
              <w:rPr>
                <w:lang w:val="en-US"/>
              </w:rPr>
              <w:t xml:space="preserve"> memory optimized virtual machines</w:t>
            </w:r>
          </w:p>
        </w:tc>
      </w:tr>
      <w:tr w:rsidR="00E67C05" w14:paraId="69EB96BB" w14:textId="77777777" w:rsidTr="00E67C05">
        <w:trPr>
          <w:trHeight w:val="416"/>
        </w:trPr>
        <w:tc>
          <w:tcPr>
            <w:tcW w:w="4646" w:type="dxa"/>
          </w:tcPr>
          <w:p w14:paraId="5227F9A8" w14:textId="512238F3" w:rsidR="00E67C05" w:rsidRDefault="00E67C05">
            <w:pPr>
              <w:rPr>
                <w:lang w:val="en-US"/>
              </w:rPr>
            </w:pPr>
            <w:r>
              <w:rPr>
                <w:lang w:val="en-US"/>
              </w:rPr>
              <w:t>N-Series</w:t>
            </w:r>
          </w:p>
        </w:tc>
        <w:tc>
          <w:tcPr>
            <w:tcW w:w="4646" w:type="dxa"/>
          </w:tcPr>
          <w:p w14:paraId="62A18802" w14:textId="677F4640" w:rsidR="00E67C05" w:rsidRPr="00E67C05" w:rsidRDefault="00E67C05" w:rsidP="00E67C05">
            <w:pPr>
              <w:rPr>
                <w:lang w:val="en-US"/>
              </w:rPr>
            </w:pPr>
            <w:r w:rsidRPr="00E67C05">
              <w:rPr>
                <w:lang w:val="en-US"/>
              </w:rPr>
              <w:t>GPU enabled virtual machines</w:t>
            </w:r>
          </w:p>
        </w:tc>
      </w:tr>
    </w:tbl>
    <w:p w14:paraId="0DEEEB88" w14:textId="619827C8" w:rsidR="00E67C05" w:rsidRDefault="00E67C05">
      <w:pPr>
        <w:rPr>
          <w:lang w:val="en-US"/>
        </w:rPr>
      </w:pPr>
    </w:p>
    <w:p w14:paraId="349ADE23" w14:textId="62594692" w:rsidR="00E67C05" w:rsidRDefault="00E67C05">
      <w:pPr>
        <w:rPr>
          <w:lang w:val="en-US"/>
        </w:rPr>
      </w:pPr>
      <w:r>
        <w:rPr>
          <w:lang w:val="en-US"/>
        </w:rPr>
        <w:t xml:space="preserve">Detailed overview instance families: </w:t>
      </w:r>
      <w:hyperlink r:id="rId5" w:history="1">
        <w:r w:rsidRPr="006E2056">
          <w:rPr>
            <w:rStyle w:val="Hyperlink"/>
            <w:lang w:val="en-US"/>
          </w:rPr>
          <w:t>https://azure.microsoft.com/en-us/pricing/details/virtual-machines/series/#pricing</w:t>
        </w:r>
      </w:hyperlink>
    </w:p>
    <w:p w14:paraId="15F5419B" w14:textId="7CE2A6BB" w:rsidR="00E67C05" w:rsidRDefault="00E67C05">
      <w:pPr>
        <w:rPr>
          <w:lang w:val="en-US"/>
        </w:rPr>
      </w:pPr>
    </w:p>
    <w:p w14:paraId="1E234275" w14:textId="49B932FB" w:rsidR="00E67C05" w:rsidRDefault="00E67C05">
      <w:pPr>
        <w:rPr>
          <w:lang w:val="en-US"/>
        </w:rPr>
      </w:pPr>
    </w:p>
    <w:p w14:paraId="60E5B507" w14:textId="675EB252" w:rsidR="00E67C05" w:rsidRDefault="00E67C05">
      <w:pPr>
        <w:rPr>
          <w:lang w:val="en-US"/>
        </w:rPr>
      </w:pPr>
    </w:p>
    <w:p w14:paraId="6794DCDC" w14:textId="77777777" w:rsidR="00CE657F" w:rsidRDefault="00CE657F" w:rsidP="00E67C05">
      <w:pPr>
        <w:rPr>
          <w:lang w:val="en-US"/>
        </w:rPr>
      </w:pPr>
    </w:p>
    <w:p w14:paraId="295D8E44" w14:textId="77777777" w:rsidR="00CE657F" w:rsidRDefault="00CE657F" w:rsidP="00E67C05">
      <w:pPr>
        <w:rPr>
          <w:lang w:val="en-US"/>
        </w:rPr>
      </w:pPr>
    </w:p>
    <w:p w14:paraId="0609627C" w14:textId="54E9D357" w:rsidR="00E67C05" w:rsidRPr="00E67C05" w:rsidRDefault="00E67C05" w:rsidP="00E67C05">
      <w:pPr>
        <w:rPr>
          <w:b/>
          <w:bCs/>
          <w:lang w:val="en-US"/>
        </w:rPr>
      </w:pPr>
      <w:r w:rsidRPr="00E67C05">
        <w:rPr>
          <w:b/>
          <w:bCs/>
          <w:lang w:val="en-US"/>
        </w:rPr>
        <w:t>Price Models:</w:t>
      </w:r>
    </w:p>
    <w:p w14:paraId="3113EC6A" w14:textId="77777777" w:rsidR="00E67C05" w:rsidRPr="00315C4D" w:rsidRDefault="00E67C05" w:rsidP="00E67C05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15C4D">
        <w:rPr>
          <w:b/>
          <w:bCs/>
          <w:lang w:val="en-US"/>
        </w:rPr>
        <w:t>Pay-as-you-</w:t>
      </w:r>
      <w:proofErr w:type="gramStart"/>
      <w:r w:rsidRPr="00315C4D">
        <w:rPr>
          <w:b/>
          <w:bCs/>
          <w:lang w:val="en-US"/>
        </w:rPr>
        <w:t>go</w:t>
      </w:r>
      <w:proofErr w:type="gramEnd"/>
    </w:p>
    <w:p w14:paraId="64616F47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 only for what you </w:t>
      </w:r>
      <w:proofErr w:type="gramStart"/>
      <w:r>
        <w:rPr>
          <w:lang w:val="en-US"/>
        </w:rPr>
        <w:t>use</w:t>
      </w:r>
      <w:proofErr w:type="gramEnd"/>
    </w:p>
    <w:p w14:paraId="08F6EFA8" w14:textId="77777777" w:rsidR="00E67C05" w:rsidRPr="00AB5CB6" w:rsidRDefault="00E67C05" w:rsidP="00E67C05">
      <w:pPr>
        <w:rPr>
          <w:lang w:val="en-US"/>
        </w:rPr>
      </w:pPr>
    </w:p>
    <w:p w14:paraId="0454B2FD" w14:textId="77777777" w:rsidR="00E67C05" w:rsidRPr="00AB5CB6" w:rsidRDefault="00E67C05" w:rsidP="00E67C05">
      <w:pPr>
        <w:pStyle w:val="Listenabsatz"/>
        <w:numPr>
          <w:ilvl w:val="0"/>
          <w:numId w:val="1"/>
        </w:numPr>
        <w:rPr>
          <w:b/>
          <w:bCs/>
        </w:rPr>
      </w:pPr>
      <w:r w:rsidRPr="00AB5CB6">
        <w:rPr>
          <w:b/>
          <w:bCs/>
        </w:rPr>
        <w:t>Spot VMs</w:t>
      </w:r>
    </w:p>
    <w:p w14:paraId="406334CE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3D0C30">
        <w:rPr>
          <w:lang w:val="en-US"/>
        </w:rPr>
        <w:t>Up to 90% discount compared to pay-as</w:t>
      </w:r>
      <w:r>
        <w:rPr>
          <w:lang w:val="en-US"/>
        </w:rPr>
        <w:t xml:space="preserve">-you-go </w:t>
      </w:r>
      <w:proofErr w:type="gramStart"/>
      <w:r>
        <w:rPr>
          <w:lang w:val="en-US"/>
        </w:rPr>
        <w:t>prices</w:t>
      </w:r>
      <w:proofErr w:type="gramEnd"/>
    </w:p>
    <w:p w14:paraId="38ED92B6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 only the maximum price you set in </w:t>
      </w:r>
      <w:proofErr w:type="gramStart"/>
      <w:r>
        <w:rPr>
          <w:lang w:val="en-US"/>
        </w:rPr>
        <w:t>advance</w:t>
      </w:r>
      <w:proofErr w:type="gramEnd"/>
    </w:p>
    <w:p w14:paraId="0D221BB9" w14:textId="77777777" w:rsidR="00E67C05" w:rsidRPr="00781FE7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781FE7">
        <w:rPr>
          <w:lang w:val="en-US"/>
        </w:rPr>
        <w:t xml:space="preserve">Workloads will be evicted </w:t>
      </w:r>
      <w:r>
        <w:rPr>
          <w:lang w:val="en-US"/>
        </w:rPr>
        <w:t xml:space="preserve">(within 30-seconds notice to finish running jobs or perform shutdown tasks) </w:t>
      </w:r>
      <w:r w:rsidRPr="00781FE7">
        <w:rPr>
          <w:lang w:val="en-US"/>
        </w:rPr>
        <w:t>when:</w:t>
      </w:r>
    </w:p>
    <w:p w14:paraId="708E463F" w14:textId="77777777" w:rsidR="00E67C05" w:rsidRPr="00781FE7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781FE7">
        <w:rPr>
          <w:lang w:val="en-US"/>
        </w:rPr>
        <w:t>The price is higher than the maximum price that you agreed to pay.</w:t>
      </w:r>
    </w:p>
    <w:p w14:paraId="1D29C803" w14:textId="77777777" w:rsidR="00E67C05" w:rsidRPr="00781FE7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781FE7">
        <w:rPr>
          <w:lang w:val="en-US"/>
        </w:rPr>
        <w:t>Azure no longer has available compute capacity and needs to reallocate its resources.</w:t>
      </w:r>
    </w:p>
    <w:p w14:paraId="66EAEEEF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Eviction Policy is either deallocate (default) or </w:t>
      </w:r>
      <w:proofErr w:type="gramStart"/>
      <w:r>
        <w:rPr>
          <w:lang w:val="en-US"/>
        </w:rPr>
        <w:t>delete</w:t>
      </w:r>
      <w:proofErr w:type="gramEnd"/>
    </w:p>
    <w:p w14:paraId="5DDD2A7A" w14:textId="77777777" w:rsidR="00E67C05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deallocate charged for storage costs on the disks (no </w:t>
      </w:r>
      <w:proofErr w:type="gramStart"/>
      <w:r>
        <w:rPr>
          <w:lang w:val="en-US"/>
        </w:rPr>
        <w:t>guarantee)  -</w:t>
      </w:r>
      <w:proofErr w:type="gramEnd"/>
      <w:r>
        <w:rPr>
          <w:lang w:val="en-US"/>
        </w:rPr>
        <w:t>&gt; can redeploy later, if there is now an instance available (not automatically)</w:t>
      </w:r>
    </w:p>
    <w:p w14:paraId="08B37A7E" w14:textId="77777777" w:rsidR="00E67C05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Delete will delete all so no additional </w:t>
      </w:r>
      <w:proofErr w:type="gramStart"/>
      <w:r>
        <w:rPr>
          <w:lang w:val="en-US"/>
        </w:rPr>
        <w:t>costs</w:t>
      </w:r>
      <w:proofErr w:type="gramEnd"/>
    </w:p>
    <w:p w14:paraId="686EE406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Limitations:</w:t>
      </w:r>
    </w:p>
    <w:p w14:paraId="012EB97D" w14:textId="77777777" w:rsidR="00E67C05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supported for VM: </w:t>
      </w:r>
      <w:r w:rsidRPr="00AB5CB6">
        <w:rPr>
          <w:lang w:val="en-US"/>
        </w:rPr>
        <w:t>B-series</w:t>
      </w:r>
      <w:r>
        <w:rPr>
          <w:lang w:val="en-US"/>
        </w:rPr>
        <w:t xml:space="preserve"> and </w:t>
      </w:r>
      <w:r w:rsidRPr="00AB5CB6">
        <w:rPr>
          <w:lang w:val="en-US"/>
        </w:rPr>
        <w:t>Promo versions of any size (like Dv2, NV, NC, H promo sizes)</w:t>
      </w:r>
    </w:p>
    <w:p w14:paraId="788E94D2" w14:textId="77777777" w:rsidR="00E67C05" w:rsidRPr="00AB5CB6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AB5CB6">
        <w:rPr>
          <w:lang w:val="en-US"/>
        </w:rPr>
        <w:t>The following </w:t>
      </w:r>
      <w:hyperlink r:id="rId6" w:history="1">
        <w:r w:rsidRPr="00AB5CB6">
          <w:rPr>
            <w:lang w:val="en-US"/>
          </w:rPr>
          <w:t>offer types</w:t>
        </w:r>
      </w:hyperlink>
      <w:r w:rsidRPr="00AB5CB6">
        <w:rPr>
          <w:lang w:val="en-US"/>
        </w:rPr>
        <w:t> are currently supported:</w:t>
      </w:r>
    </w:p>
    <w:p w14:paraId="10F04723" w14:textId="77777777" w:rsidR="00E67C05" w:rsidRPr="00AB5CB6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5CB6">
        <w:rPr>
          <w:lang w:val="en-US"/>
        </w:rPr>
        <w:t>Enterprise Agreement</w:t>
      </w:r>
    </w:p>
    <w:p w14:paraId="6CE5B8B1" w14:textId="77777777" w:rsidR="00E67C05" w:rsidRPr="00AB5CB6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5CB6">
        <w:rPr>
          <w:lang w:val="en-US"/>
        </w:rPr>
        <w:t>Pay-as-you-go offer code (003P)</w:t>
      </w:r>
    </w:p>
    <w:p w14:paraId="43EB5A3B" w14:textId="77777777" w:rsidR="00E67C05" w:rsidRPr="00AB5CB6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5CB6">
        <w:rPr>
          <w:lang w:val="en-US"/>
        </w:rPr>
        <w:t>Sponsored (0036P and 0136P)</w:t>
      </w:r>
    </w:p>
    <w:p w14:paraId="36F1740F" w14:textId="77777777" w:rsidR="00E67C05" w:rsidRPr="00315C4D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5CB6">
        <w:rPr>
          <w:lang w:val="en-US"/>
        </w:rPr>
        <w:t>For Cloud Service Provider (CSP), see the </w:t>
      </w:r>
      <w:hyperlink r:id="rId7" w:history="1">
        <w:r w:rsidRPr="00AB5CB6">
          <w:rPr>
            <w:lang w:val="en-US"/>
          </w:rPr>
          <w:t>Partner Center</w:t>
        </w:r>
      </w:hyperlink>
      <w:r w:rsidRPr="00AB5CB6">
        <w:rPr>
          <w:lang w:val="en-US"/>
        </w:rPr>
        <w:t> or contact your partner directly.</w:t>
      </w:r>
    </w:p>
    <w:p w14:paraId="67FE2921" w14:textId="77777777" w:rsidR="00E67C05" w:rsidRPr="003D0C30" w:rsidRDefault="00E67C05" w:rsidP="00E67C05">
      <w:pPr>
        <w:rPr>
          <w:lang w:val="en-US"/>
        </w:rPr>
      </w:pPr>
    </w:p>
    <w:p w14:paraId="1C7CD459" w14:textId="77777777" w:rsidR="00E67C05" w:rsidRPr="00315C4D" w:rsidRDefault="00E67C05" w:rsidP="00E67C05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 w:rsidRPr="00315C4D">
        <w:rPr>
          <w:b/>
          <w:bCs/>
        </w:rPr>
        <w:t>Savings</w:t>
      </w:r>
      <w:proofErr w:type="spellEnd"/>
      <w:r w:rsidRPr="00315C4D">
        <w:rPr>
          <w:b/>
          <w:bCs/>
        </w:rPr>
        <w:t xml:space="preserve"> Plans</w:t>
      </w:r>
    </w:p>
    <w:p w14:paraId="7BEB0962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F458DF">
        <w:rPr>
          <w:lang w:val="en-US"/>
        </w:rPr>
        <w:t>Azure savings plan for compute is a flexible pricing model that provides savings up to 65 percent off pay-as-you-go pricing when you commit to spend a fixed hourly amount on compute services for one or three years.</w:t>
      </w:r>
    </w:p>
    <w:p w14:paraId="02D3F781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Up-front payment or monthly</w:t>
      </w:r>
    </w:p>
    <w:p w14:paraId="18CACFEE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AB1207">
        <w:rPr>
          <w:lang w:val="en-US"/>
        </w:rPr>
        <w:t>If your usage is less than or equal to your hourly amount:</w:t>
      </w:r>
    </w:p>
    <w:p w14:paraId="37979C8E" w14:textId="77777777" w:rsidR="00E67C05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1207">
        <w:rPr>
          <w:lang w:val="en-US"/>
        </w:rPr>
        <w:t>Get lower, savings plan prices.</w:t>
      </w:r>
    </w:p>
    <w:p w14:paraId="4E5DBBD1" w14:textId="77777777" w:rsidR="00E67C05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1207">
        <w:rPr>
          <w:lang w:val="en-US"/>
        </w:rPr>
        <w:t>Pay the full hourly amount, even if usage is less.</w:t>
      </w:r>
    </w:p>
    <w:p w14:paraId="7CFB1EA8" w14:textId="77777777" w:rsidR="00E67C05" w:rsidRPr="00AB1207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1207">
        <w:rPr>
          <w:lang w:val="en-US"/>
        </w:rPr>
        <w:t>Incur no additional costs—usage is covered by the plan.</w:t>
      </w:r>
    </w:p>
    <w:p w14:paraId="48D41C26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AB1207">
        <w:rPr>
          <w:lang w:val="en-US"/>
        </w:rPr>
        <w:t>If your usage is greater than your hourly amount:</w:t>
      </w:r>
    </w:p>
    <w:p w14:paraId="0C48C73B" w14:textId="77777777" w:rsidR="00E67C05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1207">
        <w:rPr>
          <w:lang w:val="en-US"/>
        </w:rPr>
        <w:t>Usage up to your hourly amount is billed at lower prices and included in the cost of your plan.</w:t>
      </w:r>
    </w:p>
    <w:p w14:paraId="5F0FEBB6" w14:textId="77777777" w:rsidR="00E67C05" w:rsidRPr="00AB1207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 w:rsidRPr="00AB1207">
        <w:rPr>
          <w:lang w:val="en-US"/>
        </w:rPr>
        <w:t>Additional usage is billed at pay-as-you-go prices and invoiced separately.</w:t>
      </w:r>
    </w:p>
    <w:p w14:paraId="00D297B0" w14:textId="77777777" w:rsidR="00E67C05" w:rsidRPr="00AB5CB6" w:rsidRDefault="00E67C05" w:rsidP="00E67C05">
      <w:pPr>
        <w:rPr>
          <w:lang w:val="en-US"/>
        </w:rPr>
      </w:pPr>
    </w:p>
    <w:p w14:paraId="2A11E400" w14:textId="77777777" w:rsidR="00E67C05" w:rsidRPr="00315C4D" w:rsidRDefault="00E67C05" w:rsidP="00E67C05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15C4D">
        <w:rPr>
          <w:b/>
          <w:bCs/>
          <w:lang w:val="en-US"/>
        </w:rPr>
        <w:t xml:space="preserve">Reserved Instances </w:t>
      </w:r>
      <w:r w:rsidRPr="006E50E8">
        <w:rPr>
          <w:lang w:val="en-US"/>
        </w:rPr>
        <w:t>-&gt; no official marketplace</w:t>
      </w:r>
    </w:p>
    <w:p w14:paraId="0B649C29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F458DF">
        <w:rPr>
          <w:lang w:val="en-US"/>
        </w:rPr>
        <w:t>Significantly reduce costs—up to 72 percent compared to pay-as-you-go pricing—with one-year or three-year terms for Windows and Linux virtual machines (VMs)</w:t>
      </w:r>
      <w:r>
        <w:rPr>
          <w:lang w:val="en-US"/>
        </w:rPr>
        <w:t xml:space="preserve"> </w:t>
      </w:r>
    </w:p>
    <w:p w14:paraId="2DC78CCD" w14:textId="77777777" w:rsidR="00E67C05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discount than savings plans, but lower flexibility</w:t>
      </w:r>
    </w:p>
    <w:p w14:paraId="5B7163A2" w14:textId="77777777" w:rsidR="00E67C05" w:rsidRPr="00F458DF" w:rsidRDefault="00E67C05" w:rsidP="00E67C0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cancel a reservation for a termination </w:t>
      </w:r>
      <w:proofErr w:type="gramStart"/>
      <w:r>
        <w:rPr>
          <w:lang w:val="en-US"/>
        </w:rPr>
        <w:t>fee</w:t>
      </w:r>
      <w:proofErr w:type="gramEnd"/>
    </w:p>
    <w:p w14:paraId="2808272A" w14:textId="77777777" w:rsidR="00E67C05" w:rsidRPr="00A9347F" w:rsidRDefault="00E67C05" w:rsidP="00E67C05">
      <w:pPr>
        <w:pStyle w:val="Listenabsatz"/>
        <w:rPr>
          <w:lang w:val="en-US"/>
        </w:rPr>
      </w:pPr>
    </w:p>
    <w:p w14:paraId="5BD3483A" w14:textId="77777777" w:rsidR="00E67C05" w:rsidRDefault="00E67C05" w:rsidP="00E67C0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Further price savings:</w:t>
      </w:r>
    </w:p>
    <w:p w14:paraId="5386CE55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315C4D">
        <w:rPr>
          <w:b/>
          <w:bCs/>
          <w:lang w:val="en-US"/>
        </w:rPr>
        <w:t xml:space="preserve">Azure </w:t>
      </w:r>
      <w:proofErr w:type="spellStart"/>
      <w:r w:rsidRPr="00315C4D">
        <w:rPr>
          <w:b/>
          <w:bCs/>
          <w:lang w:val="en-US"/>
        </w:rPr>
        <w:t>Hybird</w:t>
      </w:r>
      <w:proofErr w:type="spellEnd"/>
      <w:r w:rsidRPr="00315C4D">
        <w:rPr>
          <w:b/>
          <w:bCs/>
          <w:lang w:val="en-US"/>
        </w:rPr>
        <w:t xml:space="preserve"> Benefit:</w:t>
      </w:r>
      <w:r>
        <w:rPr>
          <w:lang w:val="en-US"/>
        </w:rPr>
        <w:t xml:space="preserve"> Is</w:t>
      </w:r>
      <w:r w:rsidRPr="00A9347F">
        <w:rPr>
          <w:lang w:val="en-US"/>
        </w:rPr>
        <w:t xml:space="preserve"> a cost-savings and migration benefit. Apply your existing Windows Server and SQL Server licenses with active Software Assurance or subscriptions to Azure Hybrid Benefit to achieve cost savings. </w:t>
      </w:r>
      <w:r w:rsidRPr="00F458DF">
        <w:rPr>
          <w:lang w:val="en-US"/>
        </w:rPr>
        <w:t>Azure Hybrid Benefit allows users with existing on-premises licenses to apply them towards Azure services, resulting in significant cost savings.</w:t>
      </w:r>
    </w:p>
    <w:p w14:paraId="75A676FB" w14:textId="77777777" w:rsidR="00E67C05" w:rsidRPr="00F458DF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315C4D">
        <w:rPr>
          <w:b/>
          <w:bCs/>
          <w:lang w:val="en-US"/>
        </w:rPr>
        <w:t>Azure Dev/Test pricing:</w:t>
      </w:r>
      <w:r w:rsidRPr="00F458DF">
        <w:rPr>
          <w:lang w:val="en-US"/>
        </w:rPr>
        <w:t xml:space="preserve"> Azure offers discounted pricing for users who want to use Azure for development and testing purposes.</w:t>
      </w:r>
    </w:p>
    <w:p w14:paraId="0E2F6ECD" w14:textId="77777777" w:rsidR="00E67C05" w:rsidRDefault="00E67C05" w:rsidP="00E67C05">
      <w:pPr>
        <w:pStyle w:val="Listenabsatz"/>
        <w:numPr>
          <w:ilvl w:val="1"/>
          <w:numId w:val="1"/>
        </w:numPr>
        <w:rPr>
          <w:lang w:val="en-US"/>
        </w:rPr>
      </w:pPr>
      <w:r w:rsidRPr="00315C4D">
        <w:rPr>
          <w:b/>
          <w:bCs/>
          <w:lang w:val="en-US"/>
        </w:rPr>
        <w:t>Azure Free Account:</w:t>
      </w:r>
      <w:r w:rsidRPr="00F458DF">
        <w:rPr>
          <w:lang w:val="en-US"/>
        </w:rPr>
        <w:t xml:space="preserve"> Azure offers a free account that provides limited access to Azure services for a limited time. This is an excellent option for users who want to try out Azure before committing to a paid plan.</w:t>
      </w:r>
    </w:p>
    <w:p w14:paraId="7918B3F9" w14:textId="4A362DD2" w:rsidR="00E67C05" w:rsidRDefault="00E67C05">
      <w:pPr>
        <w:rPr>
          <w:lang w:val="en-US"/>
        </w:rPr>
      </w:pPr>
    </w:p>
    <w:p w14:paraId="1B88A98F" w14:textId="64DD8560" w:rsidR="00E67C05" w:rsidRDefault="00E67C05">
      <w:pPr>
        <w:rPr>
          <w:lang w:val="en-US"/>
        </w:rPr>
      </w:pPr>
    </w:p>
    <w:p w14:paraId="21529715" w14:textId="17AF4261" w:rsidR="00E67C05" w:rsidRDefault="00E67C05">
      <w:pPr>
        <w:rPr>
          <w:lang w:val="en-US"/>
        </w:rPr>
      </w:pPr>
    </w:p>
    <w:p w14:paraId="399232AB" w14:textId="624187C6" w:rsidR="00E67C05" w:rsidRPr="00E67C05" w:rsidRDefault="00E67C05">
      <w:pPr>
        <w:rPr>
          <w:b/>
          <w:bCs/>
          <w:lang w:val="en-US"/>
        </w:rPr>
      </w:pPr>
      <w:r w:rsidRPr="00E67C05">
        <w:rPr>
          <w:b/>
          <w:bCs/>
          <w:lang w:val="en-US"/>
        </w:rPr>
        <w:t>Links:</w:t>
      </w:r>
    </w:p>
    <w:p w14:paraId="1930A0E5" w14:textId="799921AB" w:rsidR="00E67C05" w:rsidRDefault="00E67C05">
      <w:pPr>
        <w:rPr>
          <w:lang w:val="en-US"/>
        </w:rPr>
      </w:pPr>
    </w:p>
    <w:p w14:paraId="56B90AA8" w14:textId="77777777" w:rsidR="00E67C05" w:rsidRPr="00AB5CB6" w:rsidRDefault="00E67C05" w:rsidP="00E67C05">
      <w:pPr>
        <w:rPr>
          <w:lang w:val="en-US"/>
        </w:rPr>
      </w:pPr>
      <w:r w:rsidRPr="00AB5CB6">
        <w:rPr>
          <w:lang w:val="en-US"/>
        </w:rPr>
        <w:t>Pri</w:t>
      </w:r>
      <w:r>
        <w:rPr>
          <w:lang w:val="en-US"/>
        </w:rPr>
        <w:t xml:space="preserve">ces </w:t>
      </w:r>
      <w:r w:rsidRPr="00AB5CB6">
        <w:rPr>
          <w:lang w:val="en-US"/>
        </w:rPr>
        <w:t>for single VMs:</w:t>
      </w:r>
    </w:p>
    <w:p w14:paraId="13DAC293" w14:textId="77777777" w:rsidR="00E67C05" w:rsidRDefault="00E67C05" w:rsidP="00E67C05">
      <w:pPr>
        <w:pStyle w:val="Listenabsatz"/>
        <w:numPr>
          <w:ilvl w:val="0"/>
          <w:numId w:val="1"/>
        </w:numPr>
      </w:pPr>
      <w:r>
        <w:t xml:space="preserve">Linux VM: </w:t>
      </w:r>
      <w:hyperlink r:id="rId8" w:history="1">
        <w:r w:rsidRPr="006E2056">
          <w:rPr>
            <w:rStyle w:val="Hyperlink"/>
          </w:rPr>
          <w:t>https://azure.micr</w:t>
        </w:r>
        <w:r w:rsidRPr="006E2056">
          <w:rPr>
            <w:rStyle w:val="Hyperlink"/>
          </w:rPr>
          <w:t>o</w:t>
        </w:r>
        <w:r w:rsidRPr="006E2056">
          <w:rPr>
            <w:rStyle w:val="Hyperlink"/>
          </w:rPr>
          <w:t>soft.com/de-de/pricing/details/virtual-machines/linux/</w:t>
        </w:r>
      </w:hyperlink>
    </w:p>
    <w:p w14:paraId="4A674F54" w14:textId="77777777" w:rsidR="00E67C05" w:rsidRDefault="00E67C05" w:rsidP="00E67C05">
      <w:pPr>
        <w:pStyle w:val="Listenabsatz"/>
        <w:numPr>
          <w:ilvl w:val="0"/>
          <w:numId w:val="1"/>
        </w:numPr>
        <w:rPr>
          <w:lang w:val="en-US"/>
        </w:rPr>
      </w:pPr>
      <w:r w:rsidRPr="00AB5CB6">
        <w:rPr>
          <w:lang w:val="en-US"/>
        </w:rPr>
        <w:t xml:space="preserve">Windows VM: </w:t>
      </w:r>
      <w:hyperlink r:id="rId9" w:history="1">
        <w:r w:rsidRPr="006E2056">
          <w:rPr>
            <w:rStyle w:val="Hyperlink"/>
            <w:lang w:val="en-US"/>
          </w:rPr>
          <w:t>https://azure.microsoft.com/de-de/pricing/details/virtual-machines/windows/</w:t>
        </w:r>
      </w:hyperlink>
    </w:p>
    <w:p w14:paraId="785B1FC1" w14:textId="77777777" w:rsidR="00E67C05" w:rsidRDefault="00E67C05" w:rsidP="00E67C05">
      <w:pPr>
        <w:rPr>
          <w:lang w:val="en-US"/>
        </w:rPr>
      </w:pPr>
    </w:p>
    <w:p w14:paraId="5ADE31F0" w14:textId="77777777" w:rsidR="00E67C05" w:rsidRDefault="00E67C05" w:rsidP="00E67C05">
      <w:pPr>
        <w:rPr>
          <w:lang w:val="en-US"/>
        </w:rPr>
      </w:pPr>
      <w:r>
        <w:rPr>
          <w:lang w:val="en-US"/>
        </w:rPr>
        <w:t>Prices for VM scale sets:</w:t>
      </w:r>
    </w:p>
    <w:p w14:paraId="192EA3B9" w14:textId="77777777" w:rsidR="00E67C05" w:rsidRDefault="00E67C05" w:rsidP="00E67C05">
      <w:pPr>
        <w:pStyle w:val="Listenabsatz"/>
        <w:numPr>
          <w:ilvl w:val="0"/>
          <w:numId w:val="1"/>
        </w:numPr>
      </w:pPr>
      <w:r w:rsidRPr="00AB5CB6">
        <w:t xml:space="preserve">Linux: </w:t>
      </w:r>
      <w:hyperlink r:id="rId10" w:history="1">
        <w:r w:rsidRPr="006E2056">
          <w:rPr>
            <w:rStyle w:val="Hyperlink"/>
          </w:rPr>
          <w:t>https://azure.microsoft.com/en-us/pricing/details/virtual-machine-scale-sets/linux/</w:t>
        </w:r>
      </w:hyperlink>
    </w:p>
    <w:p w14:paraId="2D4BBA63" w14:textId="77777777" w:rsidR="00E67C05" w:rsidRPr="00AB5CB6" w:rsidRDefault="00E67C05" w:rsidP="00E67C05">
      <w:pPr>
        <w:pStyle w:val="Listenabsatz"/>
        <w:numPr>
          <w:ilvl w:val="0"/>
          <w:numId w:val="1"/>
        </w:numPr>
        <w:rPr>
          <w:lang w:val="en-US"/>
        </w:rPr>
      </w:pPr>
      <w:r w:rsidRPr="00AB5CB6">
        <w:rPr>
          <w:lang w:val="en-US"/>
        </w:rPr>
        <w:t xml:space="preserve">Windows: </w:t>
      </w:r>
      <w:hyperlink r:id="rId11" w:history="1">
        <w:r w:rsidRPr="006E2056">
          <w:rPr>
            <w:rStyle w:val="Hyperlink"/>
            <w:lang w:val="en-US"/>
          </w:rPr>
          <w:t>https://azure.microsoft.com/en-us/pricing/details/virtual-machine-scale-sets/windows/</w:t>
        </w:r>
      </w:hyperlink>
    </w:p>
    <w:p w14:paraId="4D3A3B0F" w14:textId="77777777" w:rsidR="00E67C05" w:rsidRPr="00AB5CB6" w:rsidRDefault="00E67C05" w:rsidP="00E67C05">
      <w:pPr>
        <w:rPr>
          <w:lang w:val="en-US"/>
        </w:rPr>
      </w:pPr>
    </w:p>
    <w:p w14:paraId="4DF89926" w14:textId="77777777" w:rsidR="00E67C05" w:rsidRDefault="00E67C05" w:rsidP="00E67C05">
      <w:pPr>
        <w:rPr>
          <w:lang w:val="en-US"/>
        </w:rPr>
      </w:pPr>
      <w:r>
        <w:rPr>
          <w:lang w:val="en-US"/>
        </w:rPr>
        <w:t>Prices for Spot VMs:</w:t>
      </w:r>
    </w:p>
    <w:p w14:paraId="55181375" w14:textId="77777777" w:rsidR="00E67C05" w:rsidRPr="00AB5CB6" w:rsidRDefault="00E67C05" w:rsidP="00E67C05">
      <w:pPr>
        <w:pStyle w:val="Listenabsatz"/>
        <w:numPr>
          <w:ilvl w:val="0"/>
          <w:numId w:val="1"/>
        </w:numPr>
        <w:rPr>
          <w:lang w:val="en-US"/>
        </w:rPr>
      </w:pPr>
      <w:hyperlink r:id="rId12" w:history="1">
        <w:r w:rsidRPr="006E2056">
          <w:rPr>
            <w:rStyle w:val="Hyperlink"/>
            <w:lang w:val="en-US"/>
          </w:rPr>
          <w:t>https://azure.microsoft.com/en-us/pricing/spot-advisor/</w:t>
        </w:r>
      </w:hyperlink>
    </w:p>
    <w:p w14:paraId="02AD8AF8" w14:textId="77777777" w:rsidR="00E67C05" w:rsidRPr="00E67C05" w:rsidRDefault="00E67C05">
      <w:pPr>
        <w:rPr>
          <w:lang w:val="en-US"/>
        </w:rPr>
      </w:pPr>
    </w:p>
    <w:sectPr w:rsidR="00E67C05" w:rsidRPr="00E67C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40B"/>
    <w:multiLevelType w:val="hybridMultilevel"/>
    <w:tmpl w:val="4C0CD4BC"/>
    <w:lvl w:ilvl="0" w:tplc="FE06A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20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05"/>
    <w:rsid w:val="00590BE1"/>
    <w:rsid w:val="00CE657F"/>
    <w:rsid w:val="00E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0247A"/>
  <w15:chartTrackingRefBased/>
  <w15:docId w15:val="{2B635C98-6006-EB4B-B784-73FF859B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67C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67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67C0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E67C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C0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67C0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67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de-de/pricing/details/virtual-machines/linu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artner-center/azure-plan-get-started" TargetMode="External"/><Relationship Id="rId12" Type="http://schemas.openxmlformats.org/officeDocument/2006/relationships/hyperlink" Target="https://azure.microsoft.com/en-us/pricing/spot-advis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support/legal/offer-details/" TargetMode="External"/><Relationship Id="rId11" Type="http://schemas.openxmlformats.org/officeDocument/2006/relationships/hyperlink" Target="https://azure.microsoft.com/en-us/pricing/details/virtual-machine-scale-sets/windows/" TargetMode="External"/><Relationship Id="rId5" Type="http://schemas.openxmlformats.org/officeDocument/2006/relationships/hyperlink" Target="https://azure.microsoft.com/en-us/pricing/details/virtual-machines/series/#pricing" TargetMode="External"/><Relationship Id="rId10" Type="http://schemas.openxmlformats.org/officeDocument/2006/relationships/hyperlink" Target="https://azure.microsoft.com/en-us/pricing/details/virtual-machine-scale-sets/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de-de/pricing/details/virtual-machines/window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Dietl, Marcel</dc:creator>
  <cp:keywords/>
  <dc:description/>
  <cp:lastModifiedBy>Dietl, Marcel</cp:lastModifiedBy>
  <cp:revision>3</cp:revision>
  <dcterms:created xsi:type="dcterms:W3CDTF">2023-03-26T21:23:00Z</dcterms:created>
  <dcterms:modified xsi:type="dcterms:W3CDTF">2023-03-26T21:34:00Z</dcterms:modified>
</cp:coreProperties>
</file>