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cs="Times New Roman"/>
          <w:b/>
          <w:sz w:val="24"/>
          <w:lang w:val="es-ES"/>
        </w:rPr>
        <w:t>Por qué la agricultura necesita organizarse como empresa</w:t>
      </w:r>
    </w:p>
    <w:p>
      <w:pPr>
        <w:spacing w:line="480" w:lineRule="auto" w:before="0" w:after="0"/>
        <w:jc w:val="center"/>
      </w:pPr>
      <w:r>
        <w:rPr>
          <w:rFonts w:ascii="Times New Roman" w:hAnsi="Times New Roman" w:eastAsia="Times New Roman" w:cs="Times New Roman"/>
          <w:sz w:val="24"/>
          <w:lang w:val="es-ES"/>
        </w:rPr>
        <w:t>[Nombre del estudiante]</w:t>
      </w:r>
    </w:p>
    <w:p>
      <w:pPr>
        <w:spacing w:line="480" w:lineRule="auto" w:before="0" w:after="0"/>
        <w:jc w:val="center"/>
      </w:pPr>
      <w:r>
        <w:rPr>
          <w:rFonts w:ascii="Times New Roman" w:hAnsi="Times New Roman" w:eastAsia="Times New Roman" w:cs="Times New Roman"/>
          <w:sz w:val="24"/>
          <w:lang w:val="es-ES"/>
        </w:rPr>
        <w:t>Escuela Agrícola Panamericana, Zamorano</w:t>
      </w:r>
    </w:p>
    <w:p>
      <w:pPr>
        <w:spacing w:line="480" w:lineRule="auto" w:before="0" w:after="0"/>
        <w:jc w:val="center"/>
      </w:pPr>
      <w:r>
        <w:rPr>
          <w:rFonts w:ascii="Times New Roman" w:hAnsi="Times New Roman" w:eastAsia="Times New Roman" w:cs="Times New Roman"/>
          <w:sz w:val="24"/>
          <w:lang w:val="es-ES"/>
        </w:rPr>
        <w:t>Acuerdos comerciales</w:t>
      </w:r>
    </w:p>
    <w:p>
      <w:pPr>
        <w:spacing w:line="480" w:lineRule="auto" w:before="0" w:after="0"/>
        <w:jc w:val="center"/>
      </w:pPr>
      <w:r>
        <w:rPr>
          <w:rFonts w:ascii="Times New Roman" w:hAnsi="Times New Roman" w:eastAsia="Times New Roman" w:cs="Times New Roman"/>
          <w:sz w:val="24"/>
          <w:lang w:val="es-ES"/>
        </w:rPr>
        <w:t>Dr. Raúl A. Soto D.</w:t>
      </w:r>
    </w:p>
    <w:p>
      <w:pPr>
        <w:spacing w:line="480" w:lineRule="auto" w:before="0" w:after="0"/>
        <w:jc w:val="center"/>
      </w:pPr>
      <w:r>
        <w:rPr>
          <w:rFonts w:ascii="Times New Roman" w:hAnsi="Times New Roman" w:eastAsia="Times New Roman" w:cs="Times New Roman"/>
          <w:sz w:val="24"/>
          <w:lang w:val="es-ES"/>
        </w:rPr>
        <w:t>[Fecha de entrega]</w:t>
      </w:r>
    </w:p>
    <w:p>
      <w:r>
        <w:br w:type="page"/>
      </w:r>
    </w:p>
    <w:p>
      <w:pPr>
        <w:keepNext/>
        <w:spacing w:line="480" w:lineRule="auto" w:before="0" w:after="0"/>
        <w:jc w:val="center"/>
      </w:pPr>
      <w:r>
        <w:rPr>
          <w:rFonts w:ascii="Times New Roman" w:hAnsi="Times New Roman" w:eastAsia="Times New Roman" w:cs="Times New Roman"/>
          <w:b/>
          <w:sz w:val="24"/>
          <w:lang w:val="es-ES"/>
        </w:rPr>
        <w:t>Por qué la agricultura necesita organizarse como empresa</w:t>
      </w:r>
    </w:p>
    <w:p>
      <w:pPr>
        <w:spacing w:line="480" w:lineRule="auto" w:before="0" w:after="0"/>
        <w:ind w:firstLine="720"/>
        <w:jc w:val="both"/>
      </w:pPr>
      <w:r>
        <w:rPr>
          <w:rFonts w:ascii="Times New Roman" w:hAnsi="Times New Roman" w:eastAsia="Times New Roman" w:cs="Times New Roman"/>
          <w:sz w:val="24"/>
          <w:lang w:val="es-ES"/>
        </w:rPr>
        <w:t>Cuando uno piensa en agricultura piensa en tierra, en lluvia, en una cosecha que sale bien o sale mal. Yo también lo veía así. Lo que no tenía tan claro, y las lecturas de esta unidad me lo dejaron ver, es que producir bien es apenas una parte del problema. Un productor puede tener el mejor cacao de la zona y aun así vender barato, sin marca, sin contrato y sin saber quién se come su producto. Lo que falta ahí no es agronomía. Es organización.</w:t>
      </w:r>
    </w:p>
    <w:p>
      <w:pPr>
        <w:spacing w:line="480" w:lineRule="auto" w:before="0" w:after="0"/>
        <w:ind w:firstLine="720"/>
        <w:jc w:val="both"/>
      </w:pPr>
      <w:r>
        <w:rPr>
          <w:rFonts w:ascii="Times New Roman" w:hAnsi="Times New Roman" w:eastAsia="Times New Roman" w:cs="Times New Roman"/>
          <w:sz w:val="24"/>
          <w:lang w:val="es-ES"/>
        </w:rPr>
        <w:t>Mi idea central es esta: la organización empresarial es lo que convierte una actividad agrícola en un negocio que puede durar, crecer y cobrar lo que vale. No es papeleo extra. Es la estructura que decide quién responde, quién manda, cómo se protege lo que se construye y cómo se aprende de un año al otro. Lo voy a defender por tres lados: el legal, el de la innovación y el de la estrategia comercial.</w:t>
      </w:r>
    </w:p>
    <w:p>
      <w:pPr>
        <w:keepNext/>
        <w:spacing w:line="480" w:lineRule="auto" w:before="0" w:after="0"/>
        <w:jc w:val="center"/>
      </w:pPr>
      <w:r>
        <w:rPr>
          <w:rFonts w:ascii="Times New Roman" w:hAnsi="Times New Roman" w:eastAsia="Times New Roman" w:cs="Times New Roman"/>
          <w:b/>
          <w:sz w:val="24"/>
          <w:lang w:val="es-ES"/>
        </w:rPr>
        <w:t>Lo legal no es solo trámite</w:t>
      </w:r>
    </w:p>
    <w:p>
      <w:pPr>
        <w:spacing w:line="480" w:lineRule="auto" w:before="0" w:after="0"/>
        <w:ind w:firstLine="720"/>
        <w:jc w:val="both"/>
      </w:pPr>
      <w:r>
        <w:rPr>
          <w:rFonts w:ascii="Times New Roman" w:hAnsi="Times New Roman" w:eastAsia="Times New Roman" w:cs="Times New Roman"/>
          <w:sz w:val="24"/>
          <w:lang w:val="es-ES"/>
        </w:rPr>
        <w:t>La presentación de la Unidad I arranca por algo que al principio me pareció muy teórico y después le encontré sentido: la noción de mercantilidad. Hay actos mercantiles y hay comerciantes que los realizan, y esos comerciantes pueden ser individuales o sociales (Soto Díaz, 2025). Traducido al campo: comprar insumos, contratar gente, procesar fruta, registrar una marca, firmar un contrato de suministro. Todo eso son actos de comercio. Y para hacerlos alguien tiene que existir jurídicamente, tener un patrimonio identificable y una forma de tomar decisiones.</w:t>
      </w:r>
    </w:p>
    <w:p>
      <w:pPr>
        <w:spacing w:line="480" w:lineRule="auto" w:before="0" w:after="0"/>
        <w:ind w:firstLine="720"/>
        <w:jc w:val="both"/>
      </w:pPr>
      <w:r>
        <w:rPr>
          <w:rFonts w:ascii="Times New Roman" w:hAnsi="Times New Roman" w:eastAsia="Times New Roman" w:cs="Times New Roman"/>
          <w:sz w:val="24"/>
          <w:lang w:val="es-ES"/>
        </w:rPr>
        <w:t>El comerciante individual es la puerta de entrada más fácil. Uno decide rápido, no le rinde cuentas a nadie y no necesita armar asambleas. Para una finca chica eso funciona. Pero tiene un problema serio, y es que el dueño es el negocio. Si el titular se enferma, se cansa o se muere, la empresa se tambalea. El riesgo lo carga él con todo su patrimonio, y conseguir capital es difícil porque no hay nada que ofrecerle a un socio.</w:t>
      </w:r>
    </w:p>
    <w:p>
      <w:pPr>
        <w:spacing w:line="480" w:lineRule="auto" w:before="0" w:after="0"/>
        <w:ind w:firstLine="720"/>
        <w:jc w:val="both"/>
      </w:pPr>
      <w:r>
        <w:rPr>
          <w:rFonts w:ascii="Times New Roman" w:hAnsi="Times New Roman" w:eastAsia="Times New Roman" w:cs="Times New Roman"/>
          <w:sz w:val="24"/>
          <w:lang w:val="es-ES"/>
        </w:rPr>
        <w:t>Ahí entran las sociedades mercantiles. La sociedad de responsabilidad limitada mantiene un carácter personalista, tiene un número máximo de socios, la propiedad se divide en partes sociales y la administración es menos burocrática, normalmente con un gerente general al frente. La sociedad anónima es otra cosa: se usa para negocios que necesitan mucho capital, la propiedad se representa en acciones que circulan libremente, y el gobierno recae en un consejo de administración o en un administrador único (Soto Díaz, 2025). Me llamó la atención una frase de la presentación, que en la anónima la vida de la sociedad importa más que el bienestar de los socios. Suena fuerte, pero es justamente lo que permite que un negocio sobreviva a las personas que lo fundaron.</w:t>
      </w:r>
    </w:p>
    <w:p>
      <w:pPr>
        <w:spacing w:line="480" w:lineRule="auto" w:before="0" w:after="0"/>
        <w:ind w:firstLine="720"/>
        <w:jc w:val="both"/>
      </w:pPr>
      <w:r>
        <w:rPr>
          <w:rFonts w:ascii="Times New Roman" w:hAnsi="Times New Roman" w:eastAsia="Times New Roman" w:cs="Times New Roman"/>
          <w:sz w:val="24"/>
          <w:lang w:val="es-ES"/>
        </w:rPr>
        <w:t>No creo que exista una forma mejor que otra en abstracto. Depende. Una asociación de cinco productores que quiere procesar su propio café probablemente esté mejor con una limitada, porque se conocen, son pocos y no quieren que entre cualquiera. Una empresa que va a montar una planta de congelado y necesita traer inversionistas casi seguro necesita una anónima. Lo que sí es constante es el costo del formalismo. Más estructura significa más control y más confianza para bancos y compradores, pero también más reuniones y más gasto. Y ese costo, para un pequeño productor, no es un detalle menor.</w:t>
      </w:r>
    </w:p>
    <w:p>
      <w:pPr>
        <w:spacing w:line="480" w:lineRule="auto" w:before="0" w:after="0"/>
        <w:ind w:firstLine="720"/>
        <w:jc w:val="both"/>
      </w:pPr>
      <w:r>
        <w:rPr>
          <w:rFonts w:ascii="Times New Roman" w:hAnsi="Times New Roman" w:eastAsia="Times New Roman" w:cs="Times New Roman"/>
          <w:sz w:val="24"/>
          <w:lang w:val="es-ES"/>
        </w:rPr>
        <w:t>Hay un punto que me parece el más práctico de toda la unidad: la empresa mercantil como bien mueble, compuesta por el establecimiento, el nombre comercial, las muestras y signos distintivos, las marcas y las patentes (Soto Díaz, 2025). O sea que la empresa no son solo los tractores y la bodega. Es también el nombre que la gente reconoce y la fórmula que nadie más tiene. Y eso solo se puede proteger si hay una figura jurídica que lo registre y lo sostenga.</w:t>
      </w:r>
    </w:p>
    <w:p>
      <w:pPr>
        <w:keepNext/>
        <w:spacing w:line="480" w:lineRule="auto" w:before="0" w:after="0"/>
        <w:jc w:val="center"/>
      </w:pPr>
      <w:r>
        <w:rPr>
          <w:rFonts w:ascii="Times New Roman" w:hAnsi="Times New Roman" w:eastAsia="Times New Roman" w:cs="Times New Roman"/>
          <w:b/>
          <w:sz w:val="24"/>
          <w:lang w:val="es-ES"/>
        </w:rPr>
        <w:t>Innovar no es solo inventar cosas</w:t>
      </w:r>
    </w:p>
    <w:p>
      <w:pPr>
        <w:spacing w:line="480" w:lineRule="auto" w:before="0" w:after="0"/>
        <w:ind w:firstLine="720"/>
        <w:jc w:val="both"/>
      </w:pPr>
      <w:r>
        <w:rPr>
          <w:rFonts w:ascii="Times New Roman" w:hAnsi="Times New Roman" w:eastAsia="Times New Roman" w:cs="Times New Roman"/>
          <w:sz w:val="24"/>
          <w:lang w:val="es-ES"/>
        </w:rPr>
        <w:t>Aquí es donde el artículo de Gibson, Brenes y Barahona me cambió un poco la cabeza. Ellos dicen que la innovación no se trata únicamente de laboratorios con mucho presupuesto, ejércitos de científicos y listas de patentes. El concepto hay que ampliarlo a procesos, productos, tecnologías, servicios, mercadeo, experiencia del cliente, esquemas de abastecimiento, estructuras de costos, modelos de negocio y prácticas de gestión (Gibson et al., 2011).</w:t>
      </w:r>
    </w:p>
    <w:p>
      <w:pPr>
        <w:spacing w:line="480" w:lineRule="auto" w:before="0" w:after="0"/>
        <w:ind w:firstLine="720"/>
        <w:jc w:val="both"/>
      </w:pPr>
      <w:r>
        <w:rPr>
          <w:rFonts w:ascii="Times New Roman" w:hAnsi="Times New Roman" w:eastAsia="Times New Roman" w:cs="Times New Roman"/>
          <w:sz w:val="24"/>
          <w:lang w:val="es-ES"/>
        </w:rPr>
        <w:t>Eso le sirve muchísimo al agro, porque casi ninguna mejora agrícola real es un invento nuevo. Es un empaque distinto, una ruta más corta, un residuo que ahora se usa, un dato que llega al productor por celular.</w:t>
      </w:r>
    </w:p>
    <w:p>
      <w:pPr>
        <w:spacing w:line="480" w:lineRule="auto" w:before="0" w:after="0"/>
        <w:ind w:firstLine="720"/>
        <w:jc w:val="both"/>
      </w:pPr>
      <w:r>
        <w:rPr>
          <w:rFonts w:ascii="Times New Roman" w:hAnsi="Times New Roman" w:eastAsia="Times New Roman" w:cs="Times New Roman"/>
          <w:sz w:val="24"/>
          <w:lang w:val="es-ES"/>
        </w:rPr>
        <w:t>Pero el argumento que más peso tiene, y que es el corazón del artículo, es otro. Los autores dicen que la razón por la que unas empresas innovan de forma constante y rentable mientras otras no lo logran es que las primeras institucionalizaron la innovación, igual que antes institucionalizaron la calidad total o el servicio al cliente (Gibson et al., 2011). No la dejaron al azar. Le pusieron estructura.</w:t>
      </w:r>
    </w:p>
    <w:p>
      <w:pPr>
        <w:spacing w:line="480" w:lineRule="auto" w:before="0" w:after="0"/>
        <w:ind w:firstLine="720"/>
        <w:jc w:val="both"/>
      </w:pPr>
      <w:r>
        <w:rPr>
          <w:rFonts w:ascii="Times New Roman" w:hAnsi="Times New Roman" w:eastAsia="Times New Roman" w:cs="Times New Roman"/>
          <w:sz w:val="24"/>
          <w:lang w:val="es-ES"/>
        </w:rPr>
        <w:t>Natura es el ejemplo más armado. Tiene una vicepresidencia de innovación con tres unidades a cargo, comités de innovación en cada unidad de negocio que se reúnen cada mes, un gerente de innovación por unidad y equipos multifuncionales que discuten riesgos y soluciones desde distintas perspectivas. BAC Credomatic va por otro camino: contrató expertos, creó mecanismos para administrar las ideas y premia la ejecución, no la idea suelta. Además hace ferias anuales abiertas a todo el personal (Gibson et al., 2011). Esa última parte me gustó, porque premiar la ejecución y no la ocurrencia cambia por completo el incentivo.</w:t>
      </w:r>
    </w:p>
    <w:p>
      <w:pPr>
        <w:spacing w:line="480" w:lineRule="auto" w:before="0" w:after="0"/>
        <w:ind w:firstLine="720"/>
        <w:jc w:val="both"/>
      </w:pPr>
      <w:r>
        <w:rPr>
          <w:rFonts w:ascii="Times New Roman" w:hAnsi="Times New Roman" w:eastAsia="Times New Roman" w:cs="Times New Roman"/>
          <w:sz w:val="24"/>
          <w:lang w:val="es-ES"/>
        </w:rPr>
        <w:t>Los casos agrícolas son los que más me interesan. Coopedota es una cooperativa de café y logró ser el primer café del mundo en neutralizar completamente sus emisiones de carbono. ¿Cómo? Trabajando en red con proveedores locales y extranjeros, con universidades y con consultores, y con socios dispuestos a recibir menos dividendos para financiar la experimentación (Gibson et al., 2011). Eso último es clave y casi nadie lo menciona: innovar cuesta plata, y alguien tiene que decidir no repartirse esa plata este año. Esa decisión solo se puede tomar si hay un órgano de gobierno que la tome bien y la explique.</w:t>
      </w:r>
    </w:p>
    <w:p>
      <w:pPr>
        <w:spacing w:line="480" w:lineRule="auto" w:before="0" w:after="0"/>
        <w:ind w:firstLine="720"/>
        <w:jc w:val="both"/>
      </w:pPr>
      <w:r>
        <w:rPr>
          <w:rFonts w:ascii="Times New Roman" w:hAnsi="Times New Roman" w:eastAsia="Times New Roman" w:cs="Times New Roman"/>
          <w:sz w:val="24"/>
          <w:lang w:val="es-ES"/>
        </w:rPr>
        <w:t>Los Grobo es el otro caso agrícola. Compra, procesa y comercializa granos, y armó una red de conocimiento a lo largo de la cadena: capacita a sus productores en producción y en hedging, y desarrolló herramientas como GroboSoft, con smartphones y GPS. Eso le permite ser muy liviana en activos físicos (Gibson et al., 2011). Es decir, coordina en vez de poseer. Para América Latina, donde el capital es caro, esa es una lección enorme.</w:t>
      </w:r>
    </w:p>
    <w:p>
      <w:pPr>
        <w:spacing w:line="480" w:lineRule="auto" w:before="0" w:after="0"/>
        <w:ind w:firstLine="720"/>
        <w:jc w:val="both"/>
      </w:pPr>
      <w:r>
        <w:rPr>
          <w:rFonts w:ascii="Times New Roman" w:hAnsi="Times New Roman" w:eastAsia="Times New Roman" w:cs="Times New Roman"/>
          <w:sz w:val="24"/>
          <w:lang w:val="es-ES"/>
        </w:rPr>
        <w:t>Alguien podría decirme que innovar es un lujo cuando no hay crédito ni certeza climática. Lo entiendo. Pero creo que es al revés. Cuando hay poco, cooperar es la única forma de acceder a lo que uno no tiene. Coopedota no tenía laboratorio propio, tenía universidades cerca. Eso es innovación abierta y es barata comparada con hacerlo sola.</w:t>
      </w:r>
    </w:p>
    <w:p>
      <w:pPr>
        <w:keepNext/>
        <w:spacing w:line="480" w:lineRule="auto" w:before="0" w:after="0"/>
        <w:jc w:val="center"/>
      </w:pPr>
      <w:r>
        <w:rPr>
          <w:rFonts w:ascii="Times New Roman" w:hAnsi="Times New Roman" w:eastAsia="Times New Roman" w:cs="Times New Roman"/>
          <w:b/>
          <w:sz w:val="24"/>
          <w:lang w:val="es-ES"/>
        </w:rPr>
        <w:t>Diferenciarse o competir por precio</w:t>
      </w:r>
    </w:p>
    <w:p>
      <w:pPr>
        <w:spacing w:line="480" w:lineRule="auto" w:before="0" w:after="0"/>
        <w:ind w:firstLine="720"/>
        <w:jc w:val="both"/>
      </w:pPr>
      <w:r>
        <w:rPr>
          <w:rFonts w:ascii="Times New Roman" w:hAnsi="Times New Roman" w:eastAsia="Times New Roman" w:cs="Times New Roman"/>
          <w:sz w:val="24"/>
          <w:lang w:val="es-ES"/>
        </w:rPr>
        <w:t>El tercer texto es el que cierra el razonamiento. Brenes, Montoya y Ciravegna estudiaron 66 agroempresas de ocho países de la América Latina tropical húmeda, todas de alto valor agregado, y compararon las que aplican una estrategia de diferenciación contra las que no (Brenes et al., 2014). Usaron un criterio bien concreto para clasificarlas: si la empresa cobra precios consistentemente más altos que sus competidores.</w:t>
      </w:r>
    </w:p>
    <w:p>
      <w:pPr>
        <w:spacing w:line="480" w:lineRule="auto" w:before="0" w:after="0"/>
        <w:ind w:firstLine="720"/>
        <w:jc w:val="both"/>
      </w:pPr>
      <w:r>
        <w:rPr>
          <w:rFonts w:ascii="Times New Roman" w:hAnsi="Times New Roman" w:eastAsia="Times New Roman" w:cs="Times New Roman"/>
          <w:sz w:val="24"/>
          <w:lang w:val="es-ES"/>
        </w:rPr>
        <w:t>El modelo tiene cinco dimensiones: capacidad de innovación, habilidades de mercadeo, alcance agroindustrial, habilidades operativas y calidad de la gestión. Y el hallazgo es que las diferencias más grandes están en capacidad de innovación y en habilidades de mercadeo (Brenes et al., 2014). Las operaciones casi no distinguen a un grupo del otro, lo cual tiene lógica: producir bien lo hacen los dos. Lo que separa es qué tanto innovas y qué tan bien lo comunicas.</w:t>
      </w:r>
    </w:p>
    <w:p>
      <w:pPr>
        <w:spacing w:line="480" w:lineRule="auto" w:before="0" w:after="0"/>
        <w:ind w:firstLine="720"/>
        <w:jc w:val="both"/>
      </w:pPr>
      <w:r>
        <w:rPr>
          <w:rFonts w:ascii="Times New Roman" w:hAnsi="Times New Roman" w:eastAsia="Times New Roman" w:cs="Times New Roman"/>
          <w:sz w:val="24"/>
          <w:lang w:val="es-ES"/>
        </w:rPr>
        <w:t>Los números son claros. El 82% de las empresas diferenciadas usa marcas propias en grado alto o extremo, el 91% conoce el perfil de su cliente final, el 76% usa el origen como herramienta de mercadeo y el 58% tiene más certificaciones internacionales que sus competidores, contra 33% de las otras. También invierten 50% más en investigación y desarrollo (Brenes et al., 2014).</w:t>
      </w:r>
    </w:p>
    <w:p>
      <w:pPr>
        <w:spacing w:line="480" w:lineRule="auto" w:before="0" w:after="0"/>
        <w:ind w:firstLine="720"/>
        <w:jc w:val="both"/>
      </w:pPr>
      <w:r>
        <w:rPr>
          <w:rFonts w:ascii="Times New Roman" w:hAnsi="Times New Roman" w:eastAsia="Times New Roman" w:cs="Times New Roman"/>
          <w:sz w:val="24"/>
          <w:lang w:val="es-ES"/>
        </w:rPr>
        <w:t>Hay dos ejemplos que me parecen muy útiles. Uno es el de dos productoras de mango: una eligió las variedades pensando en cada mercado de destino, la otra las eligió solo por condiciones agronómicas y se dio cuenta tarde de que su fruta no gustaba donde quería venderla (Brenes et al., 2014). Es la misma finca, el mismo clima, y una decisión de estrategia que cambia todo. El otro es Grupo Britt, que tenía la distribución tercerizada, se dio cuenta de que el distribuidor no entendía qué hacía especial a su producto, y decidió manejarla ella misma (Brenes et al., 2014).</w:t>
      </w:r>
    </w:p>
    <w:p>
      <w:pPr>
        <w:spacing w:line="480" w:lineRule="auto" w:before="0" w:after="0"/>
        <w:ind w:firstLine="720"/>
        <w:jc w:val="both"/>
      </w:pPr>
      <w:r>
        <w:rPr>
          <w:rFonts w:ascii="Times New Roman" w:hAnsi="Times New Roman" w:eastAsia="Times New Roman" w:cs="Times New Roman"/>
          <w:sz w:val="24"/>
          <w:lang w:val="es-ES"/>
        </w:rPr>
        <w:t>De ahí no concluyo que todos deban integrarse verticalmente. Tercerizar puede salir más barato y traer especialización. Monteverde, la lechera costarricense, no armó su distribución desde cero: compró una empresa que ya sabía manejar frío (Brenes et al., 2014). La pregunta correcta es dónde se crea el valor y dónde se puede perder.</w:t>
      </w:r>
    </w:p>
    <w:p>
      <w:pPr>
        <w:spacing w:line="480" w:lineRule="auto" w:before="0" w:after="0"/>
        <w:ind w:firstLine="720"/>
        <w:jc w:val="both"/>
      </w:pPr>
      <w:r>
        <w:rPr>
          <w:rFonts w:ascii="Times New Roman" w:hAnsi="Times New Roman" w:eastAsia="Times New Roman" w:cs="Times New Roman"/>
          <w:sz w:val="24"/>
          <w:lang w:val="es-ES"/>
        </w:rPr>
        <w:t>Algo que no esperaba es que las empresas diferenciadas se internacionalizan más despacio. El 79% opera en uno o dos países, mientras las otras llegan a cinco (Brenes et al., 2014). Como cobran caro, tienen que consolidar marca antes de entrar a otro mercado. Va contra la idea de que crecer es abrir países rápido.</w:t>
      </w:r>
    </w:p>
    <w:p>
      <w:pPr>
        <w:keepNext/>
        <w:spacing w:line="480" w:lineRule="auto" w:before="0" w:after="0"/>
        <w:jc w:val="center"/>
      </w:pPr>
      <w:r>
        <w:rPr>
          <w:rFonts w:ascii="Times New Roman" w:hAnsi="Times New Roman" w:eastAsia="Times New Roman" w:cs="Times New Roman"/>
          <w:b/>
          <w:sz w:val="24"/>
          <w:lang w:val="es-ES"/>
        </w:rPr>
        <w:t>Conclusión</w:t>
      </w:r>
    </w:p>
    <w:p>
      <w:pPr>
        <w:spacing w:line="480" w:lineRule="auto" w:before="0" w:after="0"/>
        <w:ind w:firstLine="720"/>
        <w:jc w:val="both"/>
      </w:pPr>
      <w:r>
        <w:rPr>
          <w:rFonts w:ascii="Times New Roman" w:hAnsi="Times New Roman" w:eastAsia="Times New Roman" w:cs="Times New Roman"/>
          <w:sz w:val="24"/>
          <w:lang w:val="es-ES"/>
        </w:rPr>
        <w:t>Si tuviera que resumir mi posición en una línea: la organización empresarial es lo que permite que la agricultura deje de vender materia prima y empiece a vender valor. Eso es lo que vengo sosteniendo desde el principio, y los tres textos lo confirman desde ángulos distintos.</w:t>
      </w:r>
    </w:p>
    <w:p>
      <w:pPr>
        <w:spacing w:line="480" w:lineRule="auto" w:before="0" w:after="0"/>
        <w:ind w:firstLine="720"/>
        <w:jc w:val="both"/>
      </w:pPr>
      <w:r>
        <w:rPr>
          <w:rFonts w:ascii="Times New Roman" w:hAnsi="Times New Roman" w:eastAsia="Times New Roman" w:cs="Times New Roman"/>
          <w:sz w:val="24"/>
          <w:lang w:val="es-ES"/>
        </w:rPr>
        <w:t>La figura jurídica define quién responde y quién decide. La empresa mercantil guarda la marca y la patente, que hoy valen más que la maquinaria. La innovación institucionalizada convierte las buenas ideas en mejoras que se repiten, en vez de suerte que pasa una vez. Y la diferenciación es lo que hace que el cliente acepte pagar más, porque percibe algo que los demás no le dan.</w:t>
      </w:r>
    </w:p>
    <w:p>
      <w:pPr>
        <w:spacing w:line="480" w:lineRule="auto" w:before="0" w:after="0"/>
        <w:ind w:firstLine="720"/>
        <w:jc w:val="both"/>
      </w:pPr>
      <w:r>
        <w:rPr>
          <w:rFonts w:ascii="Times New Roman" w:hAnsi="Times New Roman" w:eastAsia="Times New Roman" w:cs="Times New Roman"/>
          <w:sz w:val="24"/>
          <w:lang w:val="es-ES"/>
        </w:rPr>
        <w:t>Las tres cosas se necesitan entre sí. Una marca bonita sin calidad se cae. Una innovación sin seguimiento se olvida. Y una cosecha excelente sin contrato ni canal termina vendida al primero que llegue, al precio que él ponga.</w:t>
      </w:r>
    </w:p>
    <w:p>
      <w:pPr>
        <w:spacing w:line="480" w:lineRule="auto" w:before="0" w:after="0"/>
        <w:ind w:firstLine="720"/>
        <w:jc w:val="both"/>
      </w:pPr>
      <w:r>
        <w:rPr>
          <w:rFonts w:ascii="Times New Roman" w:hAnsi="Times New Roman" w:eastAsia="Times New Roman" w:cs="Times New Roman"/>
          <w:sz w:val="24"/>
          <w:lang w:val="es-ES"/>
        </w:rPr>
        <w:t>Lo que me queda claro es que el problema de la región no es falta de creatividad. Coopedota, Los Grobo y Britt lo demuestran. El problema es volver esa creatividad algo permanente, con reglas proporcionales al tamaño de cada negocio: ni copiar la estructura de una multinacional ni quedarse en la informalidad porque formalizarse da pereza. Para mí ahí está la decisión más importante que tiene por delante el agro latinoamericano.</w:t>
      </w:r>
    </w:p>
    <w:p>
      <w:r>
        <w:br w:type="page"/>
      </w:r>
    </w:p>
    <w:p>
      <w:pPr>
        <w:keepNext/>
        <w:spacing w:line="480" w:lineRule="auto" w:before="0" w:after="0"/>
        <w:jc w:val="center"/>
      </w:pPr>
      <w:r>
        <w:rPr>
          <w:rFonts w:ascii="Times New Roman" w:hAnsi="Times New Roman" w:eastAsia="Times New Roman" w:cs="Times New Roman"/>
          <w:b/>
          <w:sz w:val="24"/>
          <w:lang w:val="es-ES"/>
        </w:rPr>
        <w:t>Referencias</w:t>
      </w:r>
    </w:p>
    <w:p>
      <w:pPr>
        <w:spacing w:line="480" w:lineRule="auto" w:before="0" w:after="0"/>
        <w:ind w:left="720" w:hanging="720"/>
        <w:jc w:val="left"/>
      </w:pPr>
      <w:r>
        <w:rPr>
          <w:rFonts w:ascii="Times New Roman" w:hAnsi="Times New Roman" w:eastAsia="Times New Roman" w:cs="Times New Roman"/>
          <w:i w:val="0"/>
          <w:sz w:val="24"/>
          <w:lang w:val="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rPr>
        <w:t>Journal of Business Research, 67</w:t>
      </w:r>
      <w:r>
        <w:rPr>
          <w:rFonts w:ascii="Times New Roman" w:hAnsi="Times New Roman" w:eastAsia="Times New Roman" w:cs="Times New Roman"/>
          <w:i w:val="0"/>
          <w:sz w:val="24"/>
          <w:lang w:val="es-ES"/>
        </w:rPr>
        <w:t>, 847-855. https://doi.org/10.1016/j.jbusres.2013.07.003</w:t>
      </w:r>
    </w:p>
    <w:p>
      <w:pPr>
        <w:spacing w:line="480" w:lineRule="auto" w:before="0" w:after="0"/>
        <w:ind w:left="720" w:hanging="720"/>
        <w:jc w:val="left"/>
      </w:pPr>
      <w:r>
        <w:rPr>
          <w:rFonts w:ascii="Times New Roman" w:hAnsi="Times New Roman" w:eastAsia="Times New Roman" w:cs="Times New Roman"/>
          <w:i w:val="0"/>
          <w:sz w:val="24"/>
          <w:lang w:val="es-ES"/>
        </w:rPr>
        <w:t xml:space="preserve">Gibson, R., Brenes, E. R., &amp; Barahona, J. C. (2011). Campeones de la innovación en Latinoamérica. </w:t>
      </w:r>
      <w:r>
        <w:rPr>
          <w:rFonts w:ascii="Times New Roman" w:hAnsi="Times New Roman" w:eastAsia="Times New Roman" w:cs="Times New Roman"/>
          <w:i/>
          <w:sz w:val="24"/>
          <w:lang w:val="es-ES"/>
        </w:rPr>
        <w:t>INCAE Business Review, 2</w:t>
      </w:r>
      <w:r>
        <w:rPr>
          <w:rFonts w:ascii="Times New Roman" w:hAnsi="Times New Roman" w:eastAsia="Times New Roman" w:cs="Times New Roman"/>
          <w:i w:val="0"/>
          <w:sz w:val="24"/>
          <w:lang w:val="es-ES"/>
        </w:rPr>
        <w:t>(3), 2-6.</w:t>
      </w:r>
    </w:p>
    <w:p>
      <w:pPr>
        <w:spacing w:line="480" w:lineRule="auto" w:before="0" w:after="0"/>
        <w:ind w:left="720" w:hanging="720"/>
        <w:jc w:val="left"/>
      </w:pPr>
      <w:r>
        <w:rPr>
          <w:rFonts w:ascii="Times New Roman" w:hAnsi="Times New Roman" w:eastAsia="Times New Roman" w:cs="Times New Roman"/>
          <w:i w:val="0"/>
          <w:sz w:val="24"/>
          <w:lang w:val="es-ES"/>
        </w:rPr>
        <w:t xml:space="preserve">Soto Díaz, R. A. (2025). </w:t>
      </w:r>
      <w:r>
        <w:rPr>
          <w:rFonts w:ascii="Times New Roman" w:hAnsi="Times New Roman" w:eastAsia="Times New Roman" w:cs="Times New Roman"/>
          <w:i/>
          <w:sz w:val="24"/>
          <w:lang w:val="es-ES"/>
        </w:rPr>
        <w:t>Acuerdos comerciales: Unidad I</w:t>
      </w:r>
      <w:r>
        <w:rPr>
          <w:rFonts w:ascii="Times New Roman" w:hAnsi="Times New Roman" w:eastAsia="Times New Roman" w:cs="Times New Roman"/>
          <w:i w:val="0"/>
          <w:sz w:val="24"/>
          <w:lang w:val="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sz w:val="24"/>
        <w:lang w:val="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qué la agricultura necesita organizarse como empresa</dc:title>
  <dc:subject/>
  <dc:creator>[Nombre del 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