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keepNext/>
        <w:spacing w:line="480" w:lineRule="auto" w:before="0" w:after="0"/>
        <w:jc w:val="center"/>
      </w:pPr>
      <w:r>
        <w:rPr>
          <w:rFonts w:ascii="Times New Roman" w:hAnsi="Times New Roman" w:eastAsia="Times New Roman" w:cs="Times New Roman"/>
          <w:b/>
          <w:sz w:val="24"/>
          <w:lang w:val="es-ES"/>
        </w:rPr>
        <w:t>La importancia de la organización empresarial para la agricultura latinoamericana</w:t>
      </w:r>
    </w:p>
    <w:p>
      <w:pPr>
        <w:spacing w:line="480" w:lineRule="auto" w:before="0" w:after="0"/>
        <w:jc w:val="center"/>
      </w:pPr>
      <w:r>
        <w:rPr>
          <w:rFonts w:ascii="Times New Roman" w:hAnsi="Times New Roman" w:eastAsia="Times New Roman" w:cs="Times New Roman"/>
          <w:sz w:val="24"/>
          <w:lang w:val="es-ES"/>
        </w:rPr>
        <w:t>[Nombre del estudiante]</w:t>
      </w:r>
    </w:p>
    <w:p>
      <w:pPr>
        <w:spacing w:line="480" w:lineRule="auto" w:before="0" w:after="0"/>
        <w:jc w:val="center"/>
      </w:pPr>
      <w:r>
        <w:rPr>
          <w:rFonts w:ascii="Times New Roman" w:hAnsi="Times New Roman" w:eastAsia="Times New Roman" w:cs="Times New Roman"/>
          <w:sz w:val="24"/>
          <w:lang w:val="es-ES"/>
        </w:rPr>
        <w:t>Escuela Agrícola Panamericana, Zamorano</w:t>
      </w:r>
    </w:p>
    <w:p>
      <w:pPr>
        <w:spacing w:line="480" w:lineRule="auto" w:before="0" w:after="0"/>
        <w:jc w:val="center"/>
      </w:pPr>
      <w:r>
        <w:rPr>
          <w:rFonts w:ascii="Times New Roman" w:hAnsi="Times New Roman" w:eastAsia="Times New Roman" w:cs="Times New Roman"/>
          <w:sz w:val="24"/>
          <w:lang w:val="es-ES"/>
        </w:rPr>
        <w:t>Acuerdos comerciales</w:t>
      </w:r>
    </w:p>
    <w:p>
      <w:pPr>
        <w:spacing w:line="480" w:lineRule="auto" w:before="0" w:after="0"/>
        <w:jc w:val="center"/>
      </w:pPr>
      <w:r>
        <w:rPr>
          <w:rFonts w:ascii="Times New Roman" w:hAnsi="Times New Roman" w:eastAsia="Times New Roman" w:cs="Times New Roman"/>
          <w:sz w:val="24"/>
          <w:lang w:val="es-ES"/>
        </w:rPr>
        <w:t>Dr. Raúl A. Soto D.</w:t>
      </w:r>
    </w:p>
    <w:p>
      <w:pPr>
        <w:spacing w:line="480" w:lineRule="auto" w:before="0" w:after="0"/>
        <w:jc w:val="center"/>
      </w:pPr>
      <w:r>
        <w:rPr>
          <w:rFonts w:ascii="Times New Roman" w:hAnsi="Times New Roman" w:eastAsia="Times New Roman" w:cs="Times New Roman"/>
          <w:sz w:val="24"/>
          <w:lang w:val="es-ES"/>
        </w:rPr>
        <w:t>[Fecha de entrega]</w:t>
      </w:r>
    </w:p>
    <w:p>
      <w:r>
        <w:br w:type="page"/>
      </w:r>
    </w:p>
    <w:p>
      <w:pPr>
        <w:keepNext/>
        <w:spacing w:line="480" w:lineRule="auto" w:before="0" w:after="0"/>
        <w:jc w:val="center"/>
      </w:pPr>
      <w:r>
        <w:rPr>
          <w:rFonts w:ascii="Times New Roman" w:hAnsi="Times New Roman" w:eastAsia="Times New Roman" w:cs="Times New Roman"/>
          <w:b/>
          <w:sz w:val="24"/>
          <w:lang w:val="es-ES"/>
        </w:rPr>
        <w:t>La importancia de la organización empresarial para la agricultura latinoamericana</w:t>
      </w:r>
    </w:p>
    <w:p>
      <w:pPr>
        <w:spacing w:line="480" w:lineRule="auto" w:before="0" w:after="0"/>
        <w:ind w:firstLine="720"/>
        <w:jc w:val="both"/>
      </w:pPr>
      <w:r>
        <w:rPr>
          <w:rFonts w:ascii="Times New Roman" w:hAnsi="Times New Roman" w:eastAsia="Times New Roman" w:cs="Times New Roman"/>
          <w:sz w:val="24"/>
          <w:lang w:val="es-ES"/>
        </w:rPr>
        <w:t>En el campo se habla mucho de rendimiento, de plagas y de clima, y bastante menos de cómo está armada la empresa que después vende esa cosecha. Antes de estas lecturas yo lo veía parecido. Pero un productor puede sacar un producto muy bueno y venderlo igual de barato, a granel, sin marca y sin saber quién se lo come al final. Eso no se arregla sembrando mejor.</w:t>
      </w:r>
    </w:p>
    <w:p>
      <w:pPr>
        <w:spacing w:line="480" w:lineRule="auto" w:before="0" w:after="0"/>
        <w:ind w:firstLine="720"/>
        <w:jc w:val="both"/>
      </w:pPr>
      <w:r>
        <w:rPr>
          <w:rFonts w:ascii="Times New Roman" w:hAnsi="Times New Roman" w:eastAsia="Times New Roman" w:cs="Times New Roman"/>
          <w:sz w:val="24"/>
          <w:lang w:val="es-ES"/>
        </w:rPr>
        <w:t>Lo que voy a sostener es que organizarse como empresa es lo que permite que el trabajo del campo se convierta en plata que se queda con el productor, y no en materia prima que otro termina de valorizar. Las tres lecturas apuntan ahí desde ángulos distintos: la presentación da las figuras legales, Gibson y sus colegas muestran empresas que volvieron la innovación algo permanente, y Brenes con su equipo compara agroempresas que cobran más caro contra las que no. Igual quiero decir desde el principio que organizarse cuesta, y que no toda estructura le sirve a todo el mundo.</w:t>
      </w:r>
    </w:p>
    <w:p>
      <w:pPr>
        <w:keepNext/>
        <w:spacing w:line="480" w:lineRule="auto" w:before="0" w:after="0"/>
        <w:jc w:val="left"/>
      </w:pPr>
      <w:r>
        <w:rPr>
          <w:rFonts w:ascii="Times New Roman" w:hAnsi="Times New Roman" w:eastAsia="Times New Roman" w:cs="Times New Roman"/>
          <w:b/>
          <w:sz w:val="24"/>
          <w:lang w:val="es-ES"/>
        </w:rPr>
        <w:t>Comerciantes y empresa mercantil</w:t>
      </w:r>
    </w:p>
    <w:p>
      <w:pPr>
        <w:spacing w:line="480" w:lineRule="auto" w:before="0" w:after="0"/>
        <w:ind w:firstLine="720"/>
        <w:jc w:val="both"/>
      </w:pPr>
      <w:r>
        <w:rPr>
          <w:rFonts w:ascii="Times New Roman" w:hAnsi="Times New Roman" w:eastAsia="Times New Roman" w:cs="Times New Roman"/>
          <w:sz w:val="24"/>
          <w:lang w:val="es-ES"/>
        </w:rPr>
        <w:t>La unidad arranca con la noción de mercantilidad: hay actos mercantiles formales, y los hacen comerciantes, que pueden ser individuales o sociales (Soto Díaz, 2025). Suena abstracto hasta que uno lo baja al campo. Comprar insumos, contratar peones, procesar fruta, registrar una marca o firmar un contrato de suministro son actos de comercio. Y para firmarlos tiene que haber alguien que exista jurídicamente, con patrimonio identificable y una manera clara de decidir.</w:t>
      </w:r>
    </w:p>
    <w:p>
      <w:pPr>
        <w:spacing w:line="480" w:lineRule="auto" w:before="0" w:after="0"/>
        <w:ind w:firstLine="720"/>
        <w:jc w:val="both"/>
      </w:pPr>
      <w:r>
        <w:rPr>
          <w:rFonts w:ascii="Times New Roman" w:hAnsi="Times New Roman" w:eastAsia="Times New Roman" w:cs="Times New Roman"/>
          <w:sz w:val="24"/>
          <w:lang w:val="es-ES"/>
        </w:rPr>
        <w:t>El comerciante individual junta todo en una sola persona: la propiedad, la administración y el riesgo. Ahí está lo bueno y lo malo. Decide rápido, no tiene que convocar a nadie, y para una finca chica que se financia con lo propio eso funciona. El problema es que su patrimonio personal responde por las deudas del negocio, y que el negocio depende de él. Si una campaña sale mal, pueden ir contra bienes ajenos a la producción. Y si el dueño falta, la empresa queda en el aire.</w:t>
      </w:r>
    </w:p>
    <w:p>
      <w:pPr>
        <w:spacing w:line="480" w:lineRule="auto" w:before="0" w:after="0"/>
        <w:ind w:firstLine="720"/>
        <w:jc w:val="both"/>
      </w:pPr>
      <w:r>
        <w:rPr>
          <w:rFonts w:ascii="Times New Roman" w:hAnsi="Times New Roman" w:eastAsia="Times New Roman" w:cs="Times New Roman"/>
          <w:sz w:val="24"/>
          <w:lang w:val="es-ES"/>
        </w:rPr>
        <w:t>Las sociedades mercantiles resuelven eso de distintas formas. La de responsabilidad limitada sigue siendo personalista, tiene un tope de socios, la propiedad se divide en partes sociales con reglas para transmitirlas y para la salida del socio, y la administración es menos burocrática, normalmente con un gerente general (Soto Díaz, 2025). Para cinco o seis productores que se conocen, me parece la opción más lógica. La anónima está pensada para negocios que necesitan mucho capital: la propiedad son acciones, iguales e indivisibles, que circulan como títulos valores y dan derecho a dividendos y a voto, y la representación legal queda en un consejo de administración o en un administrador único (Soto Díaz, 2025).</w:t>
      </w:r>
    </w:p>
    <w:p>
      <w:pPr>
        <w:spacing w:line="480" w:lineRule="auto" w:before="0" w:after="0"/>
        <w:ind w:firstLine="720"/>
        <w:jc w:val="both"/>
      </w:pPr>
      <w:r>
        <w:rPr>
          <w:rFonts w:ascii="Times New Roman" w:hAnsi="Times New Roman" w:eastAsia="Times New Roman" w:cs="Times New Roman"/>
          <w:sz w:val="24"/>
          <w:lang w:val="es-ES"/>
        </w:rPr>
        <w:t>Hay una frase de la presentación que me quedó dando vueltas: en la anónima, la vida de la sociedad es más importante que el bienestar de los socios. La entiendo, y para sostener una planta procesadora treinta años es una ventaja. Pero visto desde un productor que entra con pocas acciones, es más bien un aviso. Lo mismo con la responsabilidad limitada, que la unidad presenta como el eje de las sociedades mercantiles: protege al socio, sí, pero porque parte del riesgo se lo comen los acreedores y los proveedores que le venden a la sociedad. No digo que esté mal, es como funciona. Digo que por eso las asambleas, ordinarias y extraordinarias, no son un trámite: son el único lugar donde el socio chico puede pesar algo.</w:t>
      </w:r>
    </w:p>
    <w:p>
      <w:pPr>
        <w:spacing w:line="480" w:lineRule="auto" w:before="0" w:after="0"/>
        <w:ind w:firstLine="720"/>
        <w:jc w:val="both"/>
      </w:pPr>
      <w:r>
        <w:rPr>
          <w:rFonts w:ascii="Times New Roman" w:hAnsi="Times New Roman" w:eastAsia="Times New Roman" w:cs="Times New Roman"/>
          <w:sz w:val="24"/>
          <w:lang w:val="es-ES"/>
        </w:rPr>
        <w:t>Lo que más me sirvió de toda la unidad fue entender la empresa mercantil como un bien mueble, formado por el establecimiento, el nombre comercial, las muestras y signos distintivos, las marcas y las patentes (Soto Díaz, 2025). Una finca vale por la tierra y la maquinaria. Una empresa agrícola armada vale además por un nombre que el comprador reconoce y por cosas que sabe hacer y otros no. Y eso solo se puede registrar y defender si hay una figura jurídica atrás.</w:t>
      </w:r>
    </w:p>
    <w:p>
      <w:pPr>
        <w:keepNext/>
        <w:spacing w:line="480" w:lineRule="auto" w:before="0" w:after="0"/>
        <w:jc w:val="left"/>
      </w:pPr>
      <w:r>
        <w:rPr>
          <w:rFonts w:ascii="Times New Roman" w:hAnsi="Times New Roman" w:eastAsia="Times New Roman" w:cs="Times New Roman"/>
          <w:b/>
          <w:sz w:val="24"/>
          <w:lang w:val="es-ES"/>
        </w:rPr>
        <w:t>Innovar de forma organizada</w:t>
      </w:r>
    </w:p>
    <w:p>
      <w:pPr>
        <w:spacing w:line="480" w:lineRule="auto" w:before="0" w:after="0"/>
        <w:ind w:firstLine="720"/>
        <w:jc w:val="both"/>
      </w:pPr>
      <w:r>
        <w:rPr>
          <w:rFonts w:ascii="Times New Roman" w:hAnsi="Times New Roman" w:eastAsia="Times New Roman" w:cs="Times New Roman"/>
          <w:sz w:val="24"/>
          <w:lang w:val="es-ES"/>
        </w:rPr>
        <w:t>Gibson et al. (2011) sacan la innovación del laboratorio. Para ellos también se innova en procesos, productos, tecnologías, servicios, mercadeo, experiencia del cliente, esquemas de abastecimiento, estructuras de costos, modelos de negocio y prácticas de gestión. En agricultura eso calza bien, porque casi ninguna mejora del campo es un invento: es un empaque que aguanta más días, un acuerdo que salta un intermediario, un residuo que antes se tiraba.</w:t>
      </w:r>
    </w:p>
    <w:p>
      <w:pPr>
        <w:spacing w:line="480" w:lineRule="auto" w:before="0" w:after="0"/>
        <w:ind w:firstLine="720"/>
        <w:jc w:val="both"/>
      </w:pPr>
      <w:r>
        <w:rPr>
          <w:rFonts w:ascii="Times New Roman" w:hAnsi="Times New Roman" w:eastAsia="Times New Roman" w:cs="Times New Roman"/>
          <w:sz w:val="24"/>
          <w:lang w:val="es-ES"/>
        </w:rPr>
        <w:t>Su idea principal es que las empresas que innovan seguido y ganando plata lo logran porque volvieron la innovación una rutina de la casa, con el mismo esfuerzo con que otras metieron la calidad total, y que eso se tiene que liderar desde arriba (Gibson et al., 2011). Natura es el ejemplo más armado: vicepresidencia de innovación, comités en cada unidad de negocio, equipos multifuncionales. BAC Credomatic maneja las ideas con ferias internas y premia que se implementen, no que se propongan.</w:t>
      </w:r>
    </w:p>
    <w:p>
      <w:pPr>
        <w:spacing w:line="480" w:lineRule="auto" w:before="0" w:after="0"/>
        <w:ind w:firstLine="720"/>
        <w:jc w:val="both"/>
      </w:pPr>
      <w:r>
        <w:rPr>
          <w:rFonts w:ascii="Times New Roman" w:hAnsi="Times New Roman" w:eastAsia="Times New Roman" w:cs="Times New Roman"/>
          <w:sz w:val="24"/>
          <w:lang w:val="es-ES"/>
        </w:rPr>
        <w:t>El artículo me sirvió, pero hay que ver de dónde sale. Escogieron empresas a las que ya les fue bien y después buscaron qué tenían en común. No aparece ninguna que hiciera lo mismo y le fuera mal, y esas seguro hay. Tampoco se plantean algo que a mí me quedó dando vueltas: Natura pudo pagar una vicepresidencia entera porque ya era líder en Brasil. Capaz la estructura no la hizo rentable, sino que ser rentable le permitió pagar la estructura. Lo que sí me llevo es más chico: para innovar seguido hace falta alguien a cargo, alguna forma de filtrar ideas y seguimiento de lo que se aprobó. En una empresa chica eso puede ser una persona y una reunión al mes.</w:t>
      </w:r>
    </w:p>
    <w:p>
      <w:pPr>
        <w:spacing w:line="480" w:lineRule="auto" w:before="0" w:after="0"/>
        <w:ind w:firstLine="720"/>
        <w:jc w:val="both"/>
      </w:pPr>
      <w:r>
        <w:rPr>
          <w:rFonts w:ascii="Times New Roman" w:hAnsi="Times New Roman" w:eastAsia="Times New Roman" w:cs="Times New Roman"/>
          <w:sz w:val="24"/>
          <w:lang w:val="es-ES"/>
        </w:rPr>
        <w:t>Del caso Coopedota me llamó la atención un dato que el artículo menciona de pasada. Lograron el primer café que neutraliza del todo sus emisiones de carbono, trabajando en red con proveedores, universidades y consultores, y los productores aceptaron recibir menos dividendos para financiar la experimentación (Gibson et al., 2011). O sea que innovar se pagó con el ingreso de los socios, apostando a algo que podía no funcionar. Eso me hizo conectar las dos lecturas: una decisión así no puede salir solo de la gerencia, tiene que pasar por una asamblea y por socios que entiendan qué están arriesgando. La parte legal, que parecía la más aburrida, es la que hace legítima la apuesta técnica.</w:t>
      </w:r>
    </w:p>
    <w:p>
      <w:pPr>
        <w:keepNext/>
        <w:spacing w:line="480" w:lineRule="auto" w:before="0" w:after="0"/>
        <w:jc w:val="left"/>
      </w:pPr>
      <w:r>
        <w:rPr>
          <w:rFonts w:ascii="Times New Roman" w:hAnsi="Times New Roman" w:eastAsia="Times New Roman" w:cs="Times New Roman"/>
          <w:b/>
          <w:sz w:val="24"/>
          <w:lang w:val="es-ES"/>
        </w:rPr>
        <w:t>Diferenciarse en el agro</w:t>
      </w:r>
    </w:p>
    <w:p>
      <w:pPr>
        <w:spacing w:line="480" w:lineRule="auto" w:before="0" w:after="0"/>
        <w:ind w:firstLine="720"/>
        <w:jc w:val="both"/>
      </w:pPr>
      <w:r>
        <w:rPr>
          <w:rFonts w:ascii="Times New Roman" w:hAnsi="Times New Roman" w:eastAsia="Times New Roman" w:cs="Times New Roman"/>
          <w:sz w:val="24"/>
          <w:lang w:val="es-ES"/>
        </w:rPr>
        <w:t>Brenes et al. (2014) estudiaron 66 agroempresas de alto valor agregado en ocho países del trópico húmedo y compararon las que se diferencian con las que van por costos o quedaron en el medio. Miran cinco dimensiones: capacidad de innovación, habilidades de mercadeo, alcance agroindustrial, habilidades operativas y calidad de la gestión. Las diferencias más grandes salen en innovación y en mercadeo; en lo operativo casi no se distinguen. Los autores aclaran que el estudio es exploratorio y que esas diferencias no denotan significancia estadística, así que las tomo como una foto, no como una relación probada.</w:t>
      </w:r>
    </w:p>
    <w:p>
      <w:pPr>
        <w:spacing w:line="480" w:lineRule="auto" w:before="0" w:after="0"/>
        <w:ind w:firstLine="720"/>
        <w:jc w:val="both"/>
      </w:pPr>
      <w:r>
        <w:rPr>
          <w:rFonts w:ascii="Times New Roman" w:hAnsi="Times New Roman" w:eastAsia="Times New Roman" w:cs="Times New Roman"/>
          <w:sz w:val="24"/>
          <w:lang w:val="es-ES"/>
        </w:rPr>
        <w:t>Igual la foto dice bastante. De las que se diferencian, el 82% usa marcas propias en grado alto o extremo, el 91% conoce el perfil de su cliente final, el 76% usa el origen para vender y el 58% tiene más certificaciones internacionales que sus competidores, contra 33% del otro grupo (Brenes et al., 2014). El ejemplo que mejor lo explica es el de las dos productoras de mango: una eligió las variedades pensando en el mercado al que iba a vender, y la otra las eligió solo por condiciones agronómicas y se dio cuenta tarde de que su fruta no gustaba allá. Una decisión de siembra sin decisión comercial atrás se paga años después, cuando ya no hay arreglo.</w:t>
      </w:r>
    </w:p>
    <w:p>
      <w:pPr>
        <w:spacing w:line="480" w:lineRule="auto" w:before="0" w:after="0"/>
        <w:ind w:firstLine="720"/>
        <w:jc w:val="both"/>
      </w:pPr>
      <w:r>
        <w:rPr>
          <w:rFonts w:ascii="Times New Roman" w:hAnsi="Times New Roman" w:eastAsia="Times New Roman" w:cs="Times New Roman"/>
          <w:sz w:val="24"/>
          <w:lang w:val="es-ES"/>
        </w:rPr>
        <w:t>Las certificaciones y la distribución hacen algo parecido. La certificación vuelve comprobable algo que el comprador no puede verificar solo, y controlar el canal hace que el producto llegue como se prometió. Britt se hizo cargo de su distribución cuando vio que el distribuidor contratado no entendía qué tenían de distinto sus productos, y Monteverde compró una distribuidora de refrigerados (Brenes et al., 2014). Pero de ahí no saco que todos deban integrarse. Los Grobo, que Gibson et al. (2011) elogian por ser liviana en activos, vende granos básicos, donde diferenciarse por atributos es difícil y lo que rinde es coordinar y bajar costos. Integrarse sirve cuando el valor se puede perder en el canal, no como regla general.</w:t>
      </w:r>
    </w:p>
    <w:p>
      <w:pPr>
        <w:spacing w:line="480" w:lineRule="auto" w:before="0" w:after="0"/>
        <w:ind w:firstLine="720"/>
        <w:jc w:val="both"/>
      </w:pPr>
      <w:r>
        <w:rPr>
          <w:rFonts w:ascii="Times New Roman" w:hAnsi="Times New Roman" w:eastAsia="Times New Roman" w:cs="Times New Roman"/>
          <w:sz w:val="24"/>
          <w:lang w:val="es-ES"/>
        </w:rPr>
        <w:t>Otra cosa que no esperaba: las diferenciadas se internacionalizan más despacio. El 79% opera en uno o dos países, porque para sostener precios altos primero hay que consolidar la marca (Brenes et al., 2014).</w:t>
      </w:r>
    </w:p>
    <w:p>
      <w:pPr>
        <w:spacing w:line="480" w:lineRule="auto" w:before="0" w:after="0"/>
        <w:ind w:firstLine="720"/>
        <w:jc w:val="both"/>
      </w:pPr>
      <w:r>
        <w:rPr>
          <w:rFonts w:ascii="Times New Roman" w:hAnsi="Times New Roman" w:eastAsia="Times New Roman" w:cs="Times New Roman"/>
          <w:sz w:val="24"/>
          <w:lang w:val="es-ES"/>
        </w:rPr>
        <w:t>Y hay algo que ninguna de las lecturas discute y que para la región me parece clave. Si el origen es una de las herramientas fuertes de diferenciación, el origen no lo fabrica una empresa sola: depende de la fama del país, de la credibilidad sanitaria, de denominaciones que son de todos. En un agro donde la mayoría son productores chicos, eso empuja menos a copiar el organigrama de Natura y más a asociarse para cuidar algo compartido. Que es volver otra vez a las formas societarias con que empezó la unidad.</w:t>
      </w:r>
    </w:p>
    <w:p>
      <w:pPr>
        <w:keepNext/>
        <w:spacing w:line="480" w:lineRule="auto" w:before="0" w:after="0"/>
        <w:jc w:val="left"/>
      </w:pPr>
      <w:r>
        <w:rPr>
          <w:rFonts w:ascii="Times New Roman" w:hAnsi="Times New Roman" w:eastAsia="Times New Roman" w:cs="Times New Roman"/>
          <w:b/>
          <w:sz w:val="24"/>
          <w:lang w:val="es-ES"/>
        </w:rPr>
        <w:t>Conclusiones</w:t>
      </w:r>
    </w:p>
    <w:p>
      <w:pPr>
        <w:spacing w:line="480" w:lineRule="auto" w:before="0" w:after="0"/>
        <w:ind w:firstLine="720"/>
        <w:jc w:val="both"/>
      </w:pPr>
      <w:r>
        <w:rPr>
          <w:rFonts w:ascii="Times New Roman" w:hAnsi="Times New Roman" w:eastAsia="Times New Roman" w:cs="Times New Roman"/>
          <w:sz w:val="24"/>
          <w:lang w:val="es-ES"/>
        </w:rPr>
        <w:t>Organizarse como empresa es lo que permite que la agricultura se quede con el valor que produce, y eso es lo que traté de mostrar en todo el ensayo. Las figuras del comerciante individual y de las sociedades definen quién responde, quién decide y cómo se pasa la propiedad; la empresa mercantil guarda la marca y las patentes, que es donde hoy está buena parte del precio; la innovación vuelta rutina hace que las mejoras se repitan en vez de salir por suerte; y la diferenciación es lo que hace que el comprador pague por esas mejoras.</w:t>
      </w:r>
    </w:p>
    <w:p>
      <w:pPr>
        <w:spacing w:line="480" w:lineRule="auto" w:before="0" w:after="0"/>
        <w:ind w:firstLine="720"/>
        <w:jc w:val="both"/>
      </w:pPr>
      <w:r>
        <w:rPr>
          <w:rFonts w:ascii="Times New Roman" w:hAnsi="Times New Roman" w:eastAsia="Times New Roman" w:cs="Times New Roman"/>
          <w:sz w:val="24"/>
          <w:lang w:val="es-ES"/>
        </w:rPr>
        <w:t>Ninguna de las cuatro cosas funciona sola. Una marca sin producto detrás se cae, una innovación que nadie aprueba ni financia no se hace, y una cosecha buenísima sin canal ni contrato se termina vendiendo al primer intermediario en las condiciones que él ponga. Tampoco creo que la respuesta sea formalizar todo al máximo: la estructura cuesta plata y una asamblea es lenta cuando hay que decidir en plena cosecha. Lo que me queda es que cada uno necesita la organización que corresponde al valor que quiere capturar. Si vendo commodity puedo sobrevivir con poco. Si quiero cobrar más que el vecino, necesito marca, certificaciones, reglas de decisión y alguien que responda, y todo eso pide una figura jurídica que lo sostenga. Ideas en la región hay, los casos lo demuestran; lo que falta es armar las organizaciones que las vuelvan permanentes.</w:t>
      </w:r>
    </w:p>
    <w:p>
      <w:r>
        <w:br w:type="page"/>
      </w:r>
    </w:p>
    <w:p>
      <w:pPr>
        <w:keepNext/>
        <w:spacing w:line="480" w:lineRule="auto" w:before="0" w:after="0"/>
        <w:jc w:val="center"/>
      </w:pPr>
      <w:r>
        <w:rPr>
          <w:rFonts w:ascii="Times New Roman" w:hAnsi="Times New Roman" w:eastAsia="Times New Roman" w:cs="Times New Roman"/>
          <w:b/>
          <w:sz w:val="24"/>
          <w:lang w:val="es-ES"/>
        </w:rPr>
        <w:t>Referencias</w:t>
      </w:r>
    </w:p>
    <w:p>
      <w:pPr>
        <w:spacing w:line="480" w:lineRule="auto" w:before="0" w:after="0"/>
        <w:ind w:left="720" w:hanging="720"/>
        <w:jc w:val="left"/>
      </w:pPr>
      <w:r>
        <w:rPr>
          <w:rFonts w:ascii="Times New Roman" w:hAnsi="Times New Roman" w:eastAsia="Times New Roman" w:cs="Times New Roman"/>
          <w:i w:val="0"/>
          <w:sz w:val="24"/>
          <w:lang w:val="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rPr>
        <w:t>Journal of Business Research, 67</w:t>
      </w:r>
      <w:r>
        <w:rPr>
          <w:rFonts w:ascii="Times New Roman" w:hAnsi="Times New Roman" w:eastAsia="Times New Roman" w:cs="Times New Roman"/>
          <w:i w:val="0"/>
          <w:sz w:val="24"/>
          <w:lang w:val="es-ES"/>
        </w:rPr>
        <w:t>, 847-855. https://doi.org/10.1016/j.jbusres.2013.07.003</w:t>
      </w:r>
    </w:p>
    <w:p>
      <w:pPr>
        <w:spacing w:line="480" w:lineRule="auto" w:before="0" w:after="0"/>
        <w:ind w:left="720" w:hanging="720"/>
        <w:jc w:val="left"/>
      </w:pPr>
      <w:r>
        <w:rPr>
          <w:rFonts w:ascii="Times New Roman" w:hAnsi="Times New Roman" w:eastAsia="Times New Roman" w:cs="Times New Roman"/>
          <w:i w:val="0"/>
          <w:sz w:val="24"/>
          <w:lang w:val="es-ES"/>
        </w:rPr>
        <w:t xml:space="preserve">Gibson, R., Brenes, E. R., &amp; Barahona, J. C. (2011). Campeones de la innovación en Latinoamérica. </w:t>
      </w:r>
      <w:r>
        <w:rPr>
          <w:rFonts w:ascii="Times New Roman" w:hAnsi="Times New Roman" w:eastAsia="Times New Roman" w:cs="Times New Roman"/>
          <w:i/>
          <w:sz w:val="24"/>
          <w:lang w:val="es-ES"/>
        </w:rPr>
        <w:t>INCAE Business Review, 2</w:t>
      </w:r>
      <w:r>
        <w:rPr>
          <w:rFonts w:ascii="Times New Roman" w:hAnsi="Times New Roman" w:eastAsia="Times New Roman" w:cs="Times New Roman"/>
          <w:i w:val="0"/>
          <w:sz w:val="24"/>
          <w:lang w:val="es-ES"/>
        </w:rPr>
        <w:t>(3), 2-6.</w:t>
      </w:r>
    </w:p>
    <w:p>
      <w:pPr>
        <w:spacing w:line="480" w:lineRule="auto" w:before="0" w:after="0"/>
        <w:ind w:left="720" w:hanging="720"/>
        <w:jc w:val="left"/>
      </w:pPr>
      <w:r>
        <w:rPr>
          <w:rFonts w:ascii="Times New Roman" w:hAnsi="Times New Roman" w:eastAsia="Times New Roman" w:cs="Times New Roman"/>
          <w:i w:val="0"/>
          <w:sz w:val="24"/>
          <w:lang w:val="es-ES"/>
        </w:rPr>
        <w:t xml:space="preserve">Soto Díaz, R. A. (2025). </w:t>
      </w:r>
      <w:r>
        <w:rPr>
          <w:rFonts w:ascii="Times New Roman" w:hAnsi="Times New Roman" w:eastAsia="Times New Roman" w:cs="Times New Roman"/>
          <w:i/>
          <w:sz w:val="24"/>
          <w:lang w:val="es-ES"/>
        </w:rPr>
        <w:t>Acuerdos comerciales: Unidad I</w:t>
      </w:r>
      <w:r>
        <w:rPr>
          <w:rFonts w:ascii="Times New Roman" w:hAnsi="Times New Roman" w:eastAsia="Times New Roman" w:cs="Times New Roman"/>
          <w:i w:val="0"/>
          <w:sz w:val="24"/>
          <w:lang w:val="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sz w:val="24"/>
        <w:lang w:val="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importancia de la organización empresarial para la agricultura latinoamericana</dc:title>
  <dc:subject/>
  <dc:creator>[Nombre del 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