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480" w:lineRule="auto" w:before="0" w:after="0"/>
        <w:jc w:val="center"/>
      </w:pPr>
    </w:p>
    <w:p>
      <w:pPr>
        <w:widowControl/>
        <w:spacing w:line="480" w:lineRule="auto" w:before="0" w:after="0"/>
        <w:jc w:val="center"/>
      </w:pPr>
    </w:p>
    <w:p>
      <w:pPr>
        <w:widowControl/>
        <w:spacing w:line="480" w:lineRule="auto" w:before="0" w:after="0"/>
        <w:jc w:val="center"/>
      </w:pPr>
    </w:p>
    <w:p>
      <w:pPr>
        <w:widowControl/>
        <w:spacing w:line="480" w:lineRule="auto" w:before="0" w:after="0"/>
        <w:jc w:val="center"/>
      </w:pPr>
      <w:r>
        <w:rPr>
          <w:rFonts w:ascii="Times New Roman" w:hAnsi="Times New Roman" w:eastAsia="Times New Roman" w:cs="Times New Roman"/>
          <w:b/>
          <w:sz w:val="24"/>
          <w:lang w:val="es-ES" w:eastAsia="es-ES"/>
        </w:rPr>
        <w:t>Organización empresarial, innovación y diferenciación en la agricultura latinoamericana</w:t>
      </w:r>
    </w:p>
    <w:p>
      <w:pPr>
        <w:widowControl/>
        <w:spacing w:line="480" w:lineRule="auto" w:before="0" w:after="0"/>
        <w:jc w:val="center"/>
      </w:pPr>
      <w:r>
        <w:rPr>
          <w:rFonts w:ascii="Times New Roman" w:hAnsi="Times New Roman" w:eastAsia="Times New Roman" w:cs="Times New Roman"/>
          <w:sz w:val="24"/>
          <w:lang w:val="es-ES" w:eastAsia="es-ES"/>
        </w:rPr>
        <w:t>[Nombre del estudiante]</w:t>
      </w:r>
    </w:p>
    <w:p>
      <w:pPr>
        <w:widowControl/>
        <w:spacing w:line="480" w:lineRule="auto" w:before="0" w:after="0"/>
        <w:jc w:val="center"/>
      </w:pPr>
      <w:r>
        <w:rPr>
          <w:rFonts w:ascii="Times New Roman" w:hAnsi="Times New Roman" w:eastAsia="Times New Roman" w:cs="Times New Roman"/>
          <w:sz w:val="24"/>
          <w:lang w:val="es-ES" w:eastAsia="es-ES"/>
        </w:rPr>
        <w:t>Escuela Agrícola Panamericana, Zamorano</w:t>
      </w:r>
    </w:p>
    <w:p>
      <w:pPr>
        <w:widowControl/>
        <w:spacing w:line="480" w:lineRule="auto" w:before="0" w:after="0"/>
        <w:jc w:val="center"/>
      </w:pPr>
      <w:r>
        <w:rPr>
          <w:rFonts w:ascii="Times New Roman" w:hAnsi="Times New Roman" w:eastAsia="Times New Roman" w:cs="Times New Roman"/>
          <w:sz w:val="24"/>
          <w:lang w:val="es-ES" w:eastAsia="es-ES"/>
        </w:rPr>
        <w:t>Acuerdos comerciales</w:t>
      </w:r>
    </w:p>
    <w:p>
      <w:pPr>
        <w:widowControl/>
        <w:spacing w:line="480" w:lineRule="auto" w:before="0" w:after="0"/>
        <w:jc w:val="center"/>
      </w:pPr>
      <w:r>
        <w:rPr>
          <w:rFonts w:ascii="Times New Roman" w:hAnsi="Times New Roman" w:eastAsia="Times New Roman" w:cs="Times New Roman"/>
          <w:sz w:val="24"/>
          <w:lang w:val="es-ES" w:eastAsia="es-ES"/>
        </w:rPr>
        <w:t>Dr. Raúl A. Soto D.</w:t>
      </w:r>
    </w:p>
    <w:p>
      <w:pPr>
        <w:widowControl/>
        <w:spacing w:line="480" w:lineRule="auto" w:before="0" w:after="0"/>
        <w:jc w:val="center"/>
      </w:pPr>
      <w:r>
        <w:rPr>
          <w:rFonts w:ascii="Times New Roman" w:hAnsi="Times New Roman" w:eastAsia="Times New Roman" w:cs="Times New Roman"/>
          <w:sz w:val="24"/>
          <w:lang w:val="es-ES" w:eastAsia="es-ES"/>
        </w:rPr>
        <w:t>[Fecha de entrega]</w:t>
      </w:r>
    </w:p>
    <w:p>
      <w:r>
        <w:br w:type="page"/>
      </w:r>
    </w:p>
    <w:p>
      <w:pPr>
        <w:keepNext/>
        <w:widowControl/>
        <w:spacing w:line="480" w:lineRule="auto" w:before="0" w:after="0"/>
        <w:jc w:val="center"/>
      </w:pPr>
      <w:r>
        <w:rPr>
          <w:rFonts w:ascii="Times New Roman" w:hAnsi="Times New Roman" w:eastAsia="Times New Roman" w:cs="Times New Roman"/>
          <w:b/>
          <w:sz w:val="24"/>
          <w:lang w:val="es-ES" w:eastAsia="es-ES"/>
        </w:rPr>
        <w:t>Organización empresarial, innovación y diferenciación en la agricultura latinoamericana</w:t>
      </w:r>
    </w:p>
    <w:p>
      <w:pPr>
        <w:widowControl/>
        <w:spacing w:line="480" w:lineRule="auto" w:before="0" w:after="0"/>
        <w:ind w:firstLine="720"/>
        <w:jc w:val="both"/>
      </w:pPr>
      <w:r>
        <w:rPr>
          <w:rFonts w:ascii="Times New Roman" w:hAnsi="Times New Roman" w:eastAsia="Times New Roman" w:cs="Times New Roman"/>
          <w:sz w:val="24"/>
          <w:lang w:val="es-ES" w:eastAsia="es-ES"/>
        </w:rPr>
        <w:t>La agricultura suele imaginarse como una actividad concentrada en la tierra, el clima y la producción. Sin embargo, una cosecha de calidad no garantiza por sí sola que el productor llegue al mercado, negocie en condiciones favorables o construya una empresa duradera. Entre el cultivo y el consumidor existe una red de decisiones legales, financieras, comerciales y logísticas que exige organización. En América Latina, donde conviven pequeños productores, cooperativas y compañías internacionalizadas, esa capacidad resulta decisiva. Los materiales analizados permiten sostener que la organización empresarial no es un trámite añadido a la agricultura: es la arquitectura que convierte recursos productivos dispersos en valor sostenible. Su importancia se aprecia en tres planos relacionados: brinda identidad y reglas a la actividad mercantil, permite institucionalizar la innovación y hace posible competir mediante diferenciación, en vez de depender únicamente de precios bajos.</w:t>
      </w:r>
    </w:p>
    <w:p>
      <w:pPr>
        <w:keepNext/>
        <w:widowControl/>
        <w:spacing w:line="480" w:lineRule="auto" w:before="0" w:after="0"/>
        <w:jc w:val="center"/>
      </w:pPr>
      <w:r>
        <w:rPr>
          <w:rFonts w:ascii="Times New Roman" w:hAnsi="Times New Roman" w:eastAsia="Times New Roman" w:cs="Times New Roman"/>
          <w:b/>
          <w:sz w:val="24"/>
          <w:lang w:val="es-ES" w:eastAsia="es-ES"/>
        </w:rPr>
        <w:t>Organización y mercantilidad de la actividad agrícola</w:t>
      </w:r>
    </w:p>
    <w:p>
      <w:pPr>
        <w:widowControl/>
        <w:spacing w:line="480" w:lineRule="auto" w:before="0" w:after="0"/>
        <w:ind w:firstLine="720"/>
        <w:jc w:val="both"/>
      </w:pPr>
      <w:r>
        <w:rPr>
          <w:rFonts w:ascii="Times New Roman" w:hAnsi="Times New Roman" w:eastAsia="Times New Roman" w:cs="Times New Roman"/>
          <w:sz w:val="24"/>
          <w:lang w:val="es-ES" w:eastAsia="es-ES"/>
        </w:rPr>
        <w:t>El punto de partida consiste en distinguir la producción aislada de la actividad empresarial organizada. La presentación de la Unidad I ubica esta diferencia dentro de la noción de mercantilidad: existen actos mercantiles formales ejecutados por comerciantes, quienes pueden actuar individualmente o mediante sociedades (Soto Díaz, 2025). En la agricultura, esta distinción tiene efectos concretos. Comprar insumos, contratar trabajadores, transformar materias primas, registrar una marca, distribuir alimentos o celebrar contratos de suministro requiere una persona responsable, patrimonio identificable y reglas para decidir. Organizarse permite ordenar esas relaciones y ofrecer previsibilidad a proveedores, entidades financieras, compradores y socios.</w:t>
      </w:r>
    </w:p>
    <w:p>
      <w:pPr>
        <w:widowControl/>
        <w:spacing w:line="480" w:lineRule="auto" w:before="0" w:after="0"/>
        <w:ind w:firstLine="720"/>
        <w:jc w:val="both"/>
      </w:pPr>
      <w:r>
        <w:rPr>
          <w:rFonts w:ascii="Times New Roman" w:hAnsi="Times New Roman" w:eastAsia="Times New Roman" w:cs="Times New Roman"/>
          <w:sz w:val="24"/>
          <w:lang w:val="es-ES" w:eastAsia="es-ES"/>
        </w:rPr>
        <w:t>El comerciante individual ofrece una vía sencilla para iniciar actividades y conserva control directo sobre las decisiones. Puede ser apropiado para una explotación de escala reducida, especialmente cuando el capital proviene de una sola persona y las operaciones son manejables. No obstante, la concentración de propiedad, administración y riesgo también constituye su principal debilidad. La continuidad del negocio puede depender demasiado del titular, mientras la obtención de capital, la sucesión y la distribución de responsabilidades se vuelven difíciles al crecer. Por ello, no existe una forma jurídica universalmente superior; la elección debe corresponder al tamaño, la exposición al riesgo y los objetivos de cada proyecto agrícola.</w:t>
      </w:r>
    </w:p>
    <w:p>
      <w:pPr>
        <w:widowControl/>
        <w:spacing w:line="480" w:lineRule="auto" w:before="0" w:after="0"/>
        <w:ind w:firstLine="720"/>
        <w:jc w:val="both"/>
      </w:pPr>
      <w:r>
        <w:rPr>
          <w:rFonts w:ascii="Times New Roman" w:hAnsi="Times New Roman" w:eastAsia="Times New Roman" w:cs="Times New Roman"/>
          <w:sz w:val="24"/>
          <w:lang w:val="es-ES" w:eastAsia="es-ES"/>
        </w:rPr>
        <w:t>Las sociedades mercantiles ofrecen respuestas distintas. La sociedad de responsabilidad limitada mantiene un carácter personalista, divide la propiedad en partes sociales y suele permitir una administración menos burocrática, encabezada por una gerencia. En cambio, la sociedad anónima facilita negocios que requieren mayor capital: la propiedad se representa mediante acciones, y el gobierno puede recaer en un consejo de administración o un administrador único (Soto Díaz, 2025). Para una agroempresa que instala una planta, adquiere cadena de frío o planea exportar, limitar la responsabilidad y reunir inversión puede ser crucial. A la vez, esas ventajas exigen controles, asambleas y rendición de cuentas. Desde la perspectiva del pequeño productor, tales formalidades pueden parecer costosas; desde la del inversionista o comprador, son mecanismos de confianza. La decisión responsable consiste en equilibrar agilidad y control, no en formalizar por simple apariencia.</w:t>
      </w:r>
    </w:p>
    <w:p>
      <w:pPr>
        <w:widowControl/>
        <w:spacing w:line="480" w:lineRule="auto" w:before="0" w:after="0"/>
        <w:ind w:firstLine="720"/>
        <w:jc w:val="both"/>
      </w:pPr>
      <w:r>
        <w:rPr>
          <w:rFonts w:ascii="Times New Roman" w:hAnsi="Times New Roman" w:eastAsia="Times New Roman" w:cs="Times New Roman"/>
          <w:sz w:val="24"/>
          <w:lang w:val="es-ES" w:eastAsia="es-ES"/>
        </w:rPr>
        <w:t>La empresa mercantil, además, comprende bienes que hacen viable la operación: establecimiento, nombre comercial, signos distintivos, marcas y patentes (Soto Díaz, 2025). Estos elementos son especialmente relevantes cuando el valor ya no reside solo en el producto físico. Un café con identidad territorial, una fruta procesada bajo marca propia o una tecnología de conservación incorpora reputación y conocimiento. La organización empresarial protege esos activos, separa funciones y facilita que el aprendizaje permanezca en la empresa. Así, la agricultura deja de ser únicamente producción primaria y se integra con transformación, mercadeo y distribución.</w:t>
      </w:r>
    </w:p>
    <w:p>
      <w:pPr>
        <w:keepNext/>
        <w:widowControl/>
        <w:spacing w:line="480" w:lineRule="auto" w:before="0" w:after="0"/>
        <w:jc w:val="center"/>
      </w:pPr>
      <w:r>
        <w:rPr>
          <w:rFonts w:ascii="Times New Roman" w:hAnsi="Times New Roman" w:eastAsia="Times New Roman" w:cs="Times New Roman"/>
          <w:b/>
          <w:sz w:val="24"/>
          <w:lang w:val="es-ES" w:eastAsia="es-ES"/>
        </w:rPr>
        <w:t>Innovación como capacidad institucional</w:t>
      </w:r>
    </w:p>
    <w:p>
      <w:pPr>
        <w:widowControl/>
        <w:spacing w:line="480" w:lineRule="auto" w:before="0" w:after="0"/>
        <w:ind w:firstLine="720"/>
        <w:jc w:val="both"/>
      </w:pPr>
      <w:r>
        <w:rPr>
          <w:rFonts w:ascii="Times New Roman" w:hAnsi="Times New Roman" w:eastAsia="Times New Roman" w:cs="Times New Roman"/>
          <w:sz w:val="24"/>
          <w:lang w:val="es-ES" w:eastAsia="es-ES"/>
        </w:rPr>
        <w:t>Esa transición requiere comprender la innovación en sentido amplio. Gibson et al. (2011) rechazan la idea de que innovar sea una tarea exclusiva de laboratorios, científicos o patentes. También se innova en procesos, servicios, abastecimiento, costos, mercadeo, experiencia del cliente, gestión y modelos de negocio. Esta definición resulta adecuada para la agricultura, porque muchas mejoras decisivas no nacen de inventar un producto completamente nuevo. Pueden surgir al coordinar productores mediante información digital, reducir emisiones, rediseñar el empaque, aprovechar residuos o acercarse al consumidor sin intermediarios innecesarios.</w:t>
      </w:r>
    </w:p>
    <w:p>
      <w:pPr>
        <w:widowControl/>
        <w:spacing w:line="480" w:lineRule="auto" w:before="0" w:after="0"/>
        <w:ind w:firstLine="720"/>
        <w:jc w:val="both"/>
      </w:pPr>
      <w:r>
        <w:rPr>
          <w:rFonts w:ascii="Times New Roman" w:hAnsi="Times New Roman" w:eastAsia="Times New Roman" w:cs="Times New Roman"/>
          <w:sz w:val="24"/>
          <w:lang w:val="es-ES" w:eastAsia="es-ES"/>
        </w:rPr>
        <w:t>El argumento más importante de Gibson et al. (2011) es que la innovación constante no depende de golpes de inspiración, sino de su institucionalización. El liderazgo superior debe convertirla en prioridad, asignar responsables, formar equipos, abrir canales para ideas y dar seguimiento a la ejecución. Natura ilustra esta lógica con una vicepresidencia, unidades especializadas, comités y equipos multifuncionales; BAC Credomatic complementa la generación de ideas con registro, evaluación, premios e implementación. Aunque estas empresas no pertenecen exclusivamente al sector agrícola, muestran que la creatividad produce resultados cuando existe una estructura que conecta estrategia y operaciones.</w:t>
      </w:r>
    </w:p>
    <w:p>
      <w:pPr>
        <w:widowControl/>
        <w:spacing w:line="480" w:lineRule="auto" w:before="0" w:after="0"/>
        <w:ind w:firstLine="720"/>
        <w:jc w:val="both"/>
      </w:pPr>
      <w:r>
        <w:rPr>
          <w:rFonts w:ascii="Times New Roman" w:hAnsi="Times New Roman" w:eastAsia="Times New Roman" w:cs="Times New Roman"/>
          <w:sz w:val="24"/>
          <w:lang w:val="es-ES" w:eastAsia="es-ES"/>
        </w:rPr>
        <w:t>Los casos agrícolas confirman esa relación. Coopedota involucró a productores, personal, universidades, consultores y proveedores para mejorar desde el campo hasta la comercialización y alcanzar un café carbono neutral. Los Grobo construyó una red de conocimiento apoyada por capacitación, tecnología, teléfonos inteligentes y sistemas de geolocalización, lo cual le permitió coordinar la cadena con pocos activos físicos. Grupo Britt, por su parte, incorporó perfiles emprendedores, aprendizaje a partir de clientes y tolerancia al error dentro de límites definidos (Gibson et al., 2011). En todos ellos, organizar significa distribuir capacidades sin perder dirección común. El liderazgo no reemplaza la iniciativa de los trabajadores; crea condiciones para que esa iniciativa se transforme en proyectos verificables.</w:t>
      </w:r>
    </w:p>
    <w:p>
      <w:pPr>
        <w:widowControl/>
        <w:spacing w:line="480" w:lineRule="auto" w:before="0" w:after="0"/>
        <w:ind w:firstLine="720"/>
        <w:jc w:val="both"/>
      </w:pPr>
      <w:r>
        <w:rPr>
          <w:rFonts w:ascii="Times New Roman" w:hAnsi="Times New Roman" w:eastAsia="Times New Roman" w:cs="Times New Roman"/>
          <w:sz w:val="24"/>
          <w:lang w:val="es-ES" w:eastAsia="es-ES"/>
        </w:rPr>
        <w:t>Esta visión también corrige una posible objeción. Innovar puede parecer un lujo cuando una finca enfrenta crédito escaso, clima incierto y márgenes reducidos. Sin embargo, la falta de recursos refuerza la necesidad de cooperar, priorizar y aprender. Una cooperativa puede compartir asistencia técnica; una sociedad puede proteger una marca colectiva; una alianza con una universidad puede aportar conocimiento inaccesible de forma individual. La innovación abierta amplía la base de recursos y evita que la empresa dependa solo de lo que sabe internamente. No elimina los riesgos, pero permite administrarlos con experimentos, responsabilidades y criterios de evaluación.</w:t>
      </w:r>
    </w:p>
    <w:p>
      <w:pPr>
        <w:keepNext/>
        <w:widowControl/>
        <w:spacing w:line="480" w:lineRule="auto" w:before="0" w:after="0"/>
        <w:jc w:val="center"/>
      </w:pPr>
      <w:r>
        <w:rPr>
          <w:rFonts w:ascii="Times New Roman" w:hAnsi="Times New Roman" w:eastAsia="Times New Roman" w:cs="Times New Roman"/>
          <w:b/>
          <w:sz w:val="24"/>
          <w:lang w:val="es-ES" w:eastAsia="es-ES"/>
        </w:rPr>
        <w:t>Diferenciación y creación de valor agroindustrial</w:t>
      </w:r>
    </w:p>
    <w:p>
      <w:pPr>
        <w:widowControl/>
        <w:spacing w:line="480" w:lineRule="auto" w:before="0" w:after="0"/>
        <w:ind w:firstLine="720"/>
        <w:jc w:val="both"/>
      </w:pPr>
      <w:r>
        <w:rPr>
          <w:rFonts w:ascii="Times New Roman" w:hAnsi="Times New Roman" w:eastAsia="Times New Roman" w:cs="Times New Roman"/>
          <w:sz w:val="24"/>
          <w:lang w:val="es-ES" w:eastAsia="es-ES"/>
        </w:rPr>
        <w:t>La organización y la innovación adquieren sentido competitivo cuando producen valor reconocido por el mercado. Brenes et al. (2014) estudian 66 agroempresas de ocho países latinoamericanos y comparan a las que aplican una estrategia de diferenciación con las demás. La diferenciación busca que el cliente perciba atributos suficientes para aceptar un precio superior; no consiste simplemente en cobrar más. Puede basarse en calidad, servicio, marca, origen, amplitud de productos, certificaciones, distribución o procesos. Los autores identifican cinco dimensiones: capacidad de innovación, habilidades de marketing, alcance agroindustrial, habilidades operativas y calidad de la gestión.</w:t>
      </w:r>
    </w:p>
    <w:p>
      <w:pPr>
        <w:widowControl/>
        <w:spacing w:line="480" w:lineRule="auto" w:before="0" w:after="0"/>
        <w:ind w:firstLine="720"/>
        <w:jc w:val="both"/>
      </w:pPr>
      <w:r>
        <w:rPr>
          <w:rFonts w:ascii="Times New Roman" w:hAnsi="Times New Roman" w:eastAsia="Times New Roman" w:cs="Times New Roman"/>
          <w:sz w:val="24"/>
          <w:lang w:val="es-ES" w:eastAsia="es-ES"/>
        </w:rPr>
        <w:t>Los resultados sitúan la innovación y el marketing como las diferencias más marcadas entre ambos grupos (Brenes et al., 2014). Las empresas diferenciadas invierten más en investigación y desarrollo, introducen productos y procesos y cooperan con instituciones académicas. También conocen mejor al cliente final, utilizan marcas propias, comunican el origen y construyen líneas más amplias. Esta evidencia muestra que producir bien es necesario, pero insuficiente. El productor que selecciona una variedad únicamente por su rendimiento puede descubrir tarde que no responde al gusto del mercado. En cambio, investigar al consumidor antes de sembrar conecta la decisión agronómica con la estrategia comercial.</w:t>
      </w:r>
    </w:p>
    <w:p>
      <w:pPr>
        <w:widowControl/>
        <w:spacing w:line="480" w:lineRule="auto" w:before="0" w:after="0"/>
        <w:ind w:firstLine="720"/>
        <w:jc w:val="both"/>
      </w:pPr>
      <w:r>
        <w:rPr>
          <w:rFonts w:ascii="Times New Roman" w:hAnsi="Times New Roman" w:eastAsia="Times New Roman" w:cs="Times New Roman"/>
          <w:sz w:val="24"/>
          <w:lang w:val="es-ES" w:eastAsia="es-ES"/>
        </w:rPr>
        <w:t>Las certificaciones y la distribución cumplen una función semejante. Una certificación vuelve creíbles atributos que el consumidor no puede verificar directamente, como determinadas prácticas de calidad o sostenibilidad. La distribución asegura que la promesa llegue al canal correcto y se mantenga durante la entrega. Brenes et al. (2014) describen cómo Grupo Britt decidió gestionar su distribución cuando el operador externo no comprendía el carácter diferencial de sus productos. La lección no implica que toda agroempresa deba integrarse verticalmente. Subcontratar puede reducir costos y aportar especialización; controlar la distribución puede proteger información, servicio y posicionamiento. La elección debe depender de dónde se crea valor y dónde existe riesgo de perderlo.</w:t>
      </w:r>
    </w:p>
    <w:p>
      <w:pPr>
        <w:widowControl/>
        <w:spacing w:line="480" w:lineRule="auto" w:before="0" w:after="0"/>
        <w:ind w:firstLine="720"/>
        <w:jc w:val="both"/>
      </w:pPr>
      <w:r>
        <w:rPr>
          <w:rFonts w:ascii="Times New Roman" w:hAnsi="Times New Roman" w:eastAsia="Times New Roman" w:cs="Times New Roman"/>
          <w:sz w:val="24"/>
          <w:lang w:val="es-ES" w:eastAsia="es-ES"/>
        </w:rPr>
        <w:t>El estudio también muestra que las empresas diferenciadas suelen internacionalizarse gradualmente. Antes de entrar en numerosos países, consolidan marca y posición, capacitan al personal y formalizan la estrategia (Brenes et al., 2014). Esta prudencia contradice la idea de que crecer equivale a expandirse cuanto antes. En agronegocios, una expansión acelerada puede romper la trazabilidad, deteriorar la calidad o crear compromisos superiores a la capacidad financiera. Una organización madura define objetivos, asigna responsabilidades y revisa resultados. La estrategia deja de permanecer en la mente del fundador y se convierte en un acuerdo comunicable, ejecutable y sujeto a control.</w:t>
      </w:r>
    </w:p>
    <w:p>
      <w:pPr>
        <w:keepNext/>
        <w:widowControl/>
        <w:spacing w:line="480" w:lineRule="auto" w:before="0" w:after="0"/>
        <w:jc w:val="center"/>
      </w:pPr>
      <w:r>
        <w:rPr>
          <w:rFonts w:ascii="Times New Roman" w:hAnsi="Times New Roman" w:eastAsia="Times New Roman" w:cs="Times New Roman"/>
          <w:b/>
          <w:sz w:val="24"/>
          <w:lang w:val="es-ES" w:eastAsia="es-ES"/>
        </w:rPr>
        <w:t>Aplicación crítica a una agroempresa latinoamericana</w:t>
      </w:r>
    </w:p>
    <w:p>
      <w:pPr>
        <w:widowControl/>
        <w:spacing w:line="480" w:lineRule="auto" w:before="0" w:after="0"/>
        <w:ind w:firstLine="720"/>
        <w:jc w:val="both"/>
      </w:pPr>
      <w:r>
        <w:rPr>
          <w:rFonts w:ascii="Times New Roman" w:hAnsi="Times New Roman" w:eastAsia="Times New Roman" w:cs="Times New Roman"/>
          <w:sz w:val="24"/>
          <w:lang w:val="es-ES" w:eastAsia="es-ES"/>
        </w:rPr>
        <w:t>Si una asociación de productores de cacao quisiera vender chocolate con mayor valor añadido, el primer paso no debería ser comprar maquinaria. Tendría que definir quién asume obligaciones, cómo se toman decisiones y qué forma jurídica protege mejor a los participantes. Luego necesitaría identificar al cliente, estudiar sabores y presentaciones, registrar una marca vinculada al origen y establecer criterios de calidad. Un comité pequeño podría evaluar ideas, mientras alianzas con universidades apoyarían formulación, inocuidad y aprovechamiento de residuos. Finalmente, la organización tendría que decidir si distribuye directamente, trabaja con un especialista o combina canales. Esta secuencia integra mercantilidad, innovación y diferenciación sin confundirlas.</w:t>
      </w:r>
    </w:p>
    <w:p>
      <w:pPr>
        <w:widowControl/>
        <w:spacing w:line="480" w:lineRule="auto" w:before="0" w:after="0"/>
        <w:ind w:firstLine="720"/>
        <w:jc w:val="both"/>
      </w:pPr>
      <w:r>
        <w:rPr>
          <w:rFonts w:ascii="Times New Roman" w:hAnsi="Times New Roman" w:eastAsia="Times New Roman" w:cs="Times New Roman"/>
          <w:sz w:val="24"/>
          <w:lang w:val="es-ES" w:eastAsia="es-ES"/>
        </w:rPr>
        <w:t>También obliga a reconocer tensiones. Pagar certificaciones, contratar gerentes o desarrollar empaques puede presionar la liquidez; una estructura excesiva puede alejar las decisiones del productor; y una marca basada en sostenibilidad pierde legitimidad si no mejora las condiciones de quienes cultivan. Por eso, la profesionalización debe acompañarse de gobierno transparente, indicadores y participación. La responsabilidad social y la gestión ambiental no son adornos narrativos: forman parte de la calidad gerencial observada en las empresas diferenciadas (Brenes et al., 2014). La creación de valor sostenible exige distribuir beneficios, conservar recursos y cumplir la promesa ofrecida al cliente.</w:t>
      </w:r>
    </w:p>
    <w:p>
      <w:pPr>
        <w:keepNext/>
        <w:widowControl/>
        <w:spacing w:line="480" w:lineRule="auto" w:before="0" w:after="0"/>
        <w:jc w:val="center"/>
      </w:pPr>
      <w:r>
        <w:rPr>
          <w:rFonts w:ascii="Times New Roman" w:hAnsi="Times New Roman" w:eastAsia="Times New Roman" w:cs="Times New Roman"/>
          <w:b/>
          <w:sz w:val="24"/>
          <w:lang w:val="es-ES" w:eastAsia="es-ES"/>
        </w:rPr>
        <w:t>Conclusión</w:t>
      </w:r>
    </w:p>
    <w:p>
      <w:pPr>
        <w:widowControl/>
        <w:spacing w:line="480" w:lineRule="auto" w:before="0" w:after="0"/>
        <w:ind w:firstLine="720"/>
        <w:jc w:val="both"/>
      </w:pPr>
      <w:r>
        <w:rPr>
          <w:rFonts w:ascii="Times New Roman" w:hAnsi="Times New Roman" w:eastAsia="Times New Roman" w:cs="Times New Roman"/>
          <w:sz w:val="24"/>
          <w:lang w:val="es-ES" w:eastAsia="es-ES"/>
        </w:rPr>
        <w:t>En síntesis, organizar empresarialmente la agricultura significa construir la capacidad colectiva que transforma producción en valor sostenible. La forma del comerciante o de la sociedad define responsabilidades, propiedad y gobierno; la empresa mercantil reúne y protege activos; la innovación institucionalizada convierte conocimiento en mejoras repetibles; y la diferenciación conecta esas mejoras con necesidades por las que el mercado está dispuesto a pagar. Estos componentes no funcionan por separado. Una marca sin calidad es frágil, una innovación sin seguimiento se pierde y una buena cosecha sin acuerdos comerciales queda expuesta.</w:t>
      </w:r>
    </w:p>
    <w:p>
      <w:pPr>
        <w:widowControl/>
        <w:spacing w:line="480" w:lineRule="auto" w:before="0" w:after="0"/>
        <w:ind w:firstLine="720"/>
        <w:jc w:val="both"/>
      </w:pPr>
      <w:r>
        <w:rPr>
          <w:rFonts w:ascii="Times New Roman" w:hAnsi="Times New Roman" w:eastAsia="Times New Roman" w:cs="Times New Roman"/>
          <w:sz w:val="24"/>
          <w:lang w:val="es-ES" w:eastAsia="es-ES"/>
        </w:rPr>
        <w:t>La posición más razonable no consiste en copiar estructuras de grandes corporaciones ni en idealizar la informalidad del pequeño productor. Cada agroempresa debe adoptar reglas proporcionales a su escala, pero suficientemente claras para cooperar, invertir, aprender y rendir cuentas. Los casos latinoamericanos demuestran que la región no carece de creatividad; su desafío es convertirla en una capacidad permanente. Cuando productores, gerentes, trabajadores, universidades y clientes participan dentro de una organización coherente, la agricultura puede superar la competencia basada solamente en costos y construir ventajas apoyadas en origen, conocimiento, calidad y confianza. Esa es la importancia decisiva de la organización empresarial para el futuro agrícola latinoamericano.</w:t>
      </w:r>
    </w:p>
    <w:p>
      <w:r>
        <w:br w:type="page"/>
      </w:r>
    </w:p>
    <w:p>
      <w:pPr>
        <w:keepNext/>
        <w:widowControl/>
        <w:spacing w:line="480" w:lineRule="auto" w:before="0" w:after="0"/>
        <w:jc w:val="center"/>
      </w:pPr>
      <w:r>
        <w:rPr>
          <w:rFonts w:ascii="Times New Roman" w:hAnsi="Times New Roman" w:eastAsia="Times New Roman" w:cs="Times New Roman"/>
          <w:b/>
          <w:sz w:val="24"/>
          <w:lang w:val="es-ES" w:eastAsia="es-ES"/>
        </w:rPr>
        <w:t>Referencias</w:t>
      </w:r>
    </w:p>
    <w:p>
      <w:pPr>
        <w:widowControl/>
        <w:spacing w:line="480" w:lineRule="auto" w:before="0" w:after="0"/>
        <w:ind w:left="720" w:hanging="720"/>
        <w:jc w:val="left"/>
      </w:pPr>
      <w:r>
        <w:rPr>
          <w:rFonts w:ascii="Times New Roman" w:hAnsi="Times New Roman" w:eastAsia="Times New Roman" w:cs="Times New Roman"/>
          <w:i w:val="0"/>
          <w:sz w:val="24"/>
          <w:lang w:val="es-ES" w:eastAsia="es-ES"/>
        </w:rPr>
        <w:t xml:space="preserve">Brenes, E. R., Montoya, D., &amp; Ciravegna, L. (2014). Differentiation strategies in emerging markets: The case of Latin American agribusinesses. </w:t>
      </w:r>
      <w:r>
        <w:rPr>
          <w:rFonts w:ascii="Times New Roman" w:hAnsi="Times New Roman" w:eastAsia="Times New Roman" w:cs="Times New Roman"/>
          <w:i/>
          <w:sz w:val="24"/>
          <w:lang w:val="es-ES" w:eastAsia="es-ES"/>
        </w:rPr>
        <w:t>Journal of Business Research, 67</w:t>
      </w:r>
      <w:r>
        <w:rPr>
          <w:rFonts w:ascii="Times New Roman" w:hAnsi="Times New Roman" w:eastAsia="Times New Roman" w:cs="Times New Roman"/>
          <w:i w:val="0"/>
          <w:sz w:val="24"/>
          <w:lang w:val="es-ES" w:eastAsia="es-ES"/>
        </w:rPr>
        <w:t>, 847–855. https://doi.org/10.1016/j.jbusres.2013.07.003</w:t>
      </w:r>
    </w:p>
    <w:p>
      <w:pPr>
        <w:widowControl/>
        <w:spacing w:line="480" w:lineRule="auto" w:before="0" w:after="0"/>
        <w:ind w:left="720" w:hanging="720"/>
        <w:jc w:val="left"/>
      </w:pPr>
      <w:r>
        <w:rPr>
          <w:rFonts w:ascii="Times New Roman" w:hAnsi="Times New Roman" w:eastAsia="Times New Roman" w:cs="Times New Roman"/>
          <w:i w:val="0"/>
          <w:sz w:val="24"/>
          <w:lang w:val="es-ES" w:eastAsia="es-ES"/>
        </w:rPr>
        <w:t xml:space="preserve">Gibson, R., Brenes, E. R., &amp; Barahona, J. C. (2011). Campeones de la innovación en Latinoamérica. </w:t>
      </w:r>
      <w:r>
        <w:rPr>
          <w:rFonts w:ascii="Times New Roman" w:hAnsi="Times New Roman" w:eastAsia="Times New Roman" w:cs="Times New Roman"/>
          <w:i/>
          <w:sz w:val="24"/>
          <w:lang w:val="es-ES" w:eastAsia="es-ES"/>
        </w:rPr>
        <w:t>INCAE Business Review, 2</w:t>
      </w:r>
      <w:r>
        <w:rPr>
          <w:rFonts w:ascii="Times New Roman" w:hAnsi="Times New Roman" w:eastAsia="Times New Roman" w:cs="Times New Roman"/>
          <w:i w:val="0"/>
          <w:sz w:val="24"/>
          <w:lang w:val="es-ES" w:eastAsia="es-ES"/>
        </w:rPr>
        <w:t>(3), 2–6.</w:t>
      </w:r>
    </w:p>
    <w:p>
      <w:pPr>
        <w:widowControl/>
        <w:spacing w:line="480" w:lineRule="auto" w:before="0" w:after="0"/>
        <w:ind w:left="720" w:hanging="720"/>
        <w:jc w:val="left"/>
      </w:pPr>
      <w:r>
        <w:rPr>
          <w:rFonts w:ascii="Times New Roman" w:hAnsi="Times New Roman" w:eastAsia="Times New Roman" w:cs="Times New Roman"/>
          <w:i w:val="0"/>
          <w:sz w:val="24"/>
          <w:lang w:val="es-ES" w:eastAsia="es-ES"/>
        </w:rPr>
        <w:t xml:space="preserve">Soto Díaz, R. A. (2025). </w:t>
      </w:r>
      <w:r>
        <w:rPr>
          <w:rFonts w:ascii="Times New Roman" w:hAnsi="Times New Roman" w:eastAsia="Times New Roman" w:cs="Times New Roman"/>
          <w:i/>
          <w:sz w:val="24"/>
          <w:lang w:val="es-ES" w:eastAsia="es-ES"/>
        </w:rPr>
        <w:t>Acuerdos comerciales: Unidad I</w:t>
      </w:r>
      <w:r>
        <w:rPr>
          <w:rFonts w:ascii="Times New Roman" w:hAnsi="Times New Roman" w:eastAsia="Times New Roman" w:cs="Times New Roman"/>
          <w:i w:val="0"/>
          <w:sz w:val="24"/>
          <w:lang w:val="es-ES" w:eastAsia="es-ES"/>
        </w:rPr>
        <w:t xml:space="preserve"> [Presentación de PowerPoint]. Escuela Agrícola Panamericana, Zamorano.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480" w:lineRule="auto"/>
      <w:jc w:val="right"/>
    </w:pPr>
    <w:r>
      <w:rPr>
        <w:rFonts w:ascii="Times New Roman" w:hAnsi="Times New Roman" w:eastAsia="Times New Roman" w:cs="Times New Roman"/>
        <w:sz w:val="24"/>
        <w:lang w:val="es-ES" w:eastAsia="es-ES"/>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Organización empresarial, innovación y diferenciación en la agricultura latinoamericana</dc:title>
  <dc:subject>Ensayo académico sobre organización empresarial agrícola</dc:subject>
  <dc:creator>[Nombre del estudiante]</dc:creator>
  <cp:keywords>agricultura, organización empresarial, innovación, diferenciación, APA 7</cp:keywords>
  <dc:description>Documento preparado en formato APA 7.</dc:description>
  <cp:lastModifiedBy/>
  <cp:revision>1</cp:revision>
  <dcterms:created xsi:type="dcterms:W3CDTF">2013-12-23T23:15:00Z</dcterms:created>
  <dcterms:modified xsi:type="dcterms:W3CDTF">2013-12-23T23:15:00Z</dcterms:modified>
  <cp:category/>
</cp:coreProperties>
</file>