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keepNext/>
        <w:spacing w:line="480" w:lineRule="auto" w:before="0" w:after="0"/>
        <w:jc w:val="center"/>
      </w:pPr>
      <w:r>
        <w:rPr>
          <w:rFonts w:ascii="Times New Roman" w:hAnsi="Times New Roman" w:eastAsia="Times New Roman" w:cs="Times New Roman"/>
          <w:b/>
          <w:sz w:val="24"/>
          <w:lang w:val="es-ES"/>
        </w:rPr>
        <w:t>Organización empresarial, comerciantes y diferenciación en la agricultura latinoamericana</w:t>
      </w:r>
    </w:p>
    <w:p>
      <w:pPr>
        <w:spacing w:line="480" w:lineRule="auto" w:before="0" w:after="0"/>
        <w:jc w:val="center"/>
      </w:pPr>
      <w:r>
        <w:rPr>
          <w:rFonts w:ascii="Times New Roman" w:hAnsi="Times New Roman" w:eastAsia="Times New Roman" w:cs="Times New Roman"/>
          <w:sz w:val="24"/>
          <w:lang w:val="es-ES"/>
        </w:rPr>
        <w:t>[Nombre del estudiante]</w:t>
      </w:r>
    </w:p>
    <w:p>
      <w:pPr>
        <w:spacing w:line="480" w:lineRule="auto" w:before="0" w:after="0"/>
        <w:jc w:val="center"/>
      </w:pPr>
      <w:r>
        <w:rPr>
          <w:rFonts w:ascii="Times New Roman" w:hAnsi="Times New Roman" w:eastAsia="Times New Roman" w:cs="Times New Roman"/>
          <w:sz w:val="24"/>
          <w:lang w:val="es-ES"/>
        </w:rPr>
        <w:t>Escuela Agrícola Panamericana, Zamorano</w:t>
      </w:r>
    </w:p>
    <w:p>
      <w:pPr>
        <w:spacing w:line="480" w:lineRule="auto" w:before="0" w:after="0"/>
        <w:jc w:val="center"/>
      </w:pPr>
      <w:r>
        <w:rPr>
          <w:rFonts w:ascii="Times New Roman" w:hAnsi="Times New Roman" w:eastAsia="Times New Roman" w:cs="Times New Roman"/>
          <w:sz w:val="24"/>
          <w:lang w:val="es-ES"/>
        </w:rPr>
        <w:t>Acuerdos comerciales</w:t>
      </w:r>
    </w:p>
    <w:p>
      <w:pPr>
        <w:spacing w:line="480" w:lineRule="auto" w:before="0" w:after="0"/>
        <w:jc w:val="center"/>
      </w:pPr>
      <w:r>
        <w:rPr>
          <w:rFonts w:ascii="Times New Roman" w:hAnsi="Times New Roman" w:eastAsia="Times New Roman" w:cs="Times New Roman"/>
          <w:sz w:val="24"/>
          <w:lang w:val="es-ES"/>
        </w:rPr>
        <w:t>Dr. Raúl A. Soto D.</w:t>
      </w:r>
    </w:p>
    <w:p>
      <w:pPr>
        <w:spacing w:line="480" w:lineRule="auto" w:before="0" w:after="0"/>
        <w:jc w:val="center"/>
      </w:pPr>
      <w:r>
        <w:rPr>
          <w:rFonts w:ascii="Times New Roman" w:hAnsi="Times New Roman" w:eastAsia="Times New Roman" w:cs="Times New Roman"/>
          <w:sz w:val="24"/>
          <w:lang w:val="es-ES"/>
        </w:rPr>
        <w:t>[Fecha de entrega]</w:t>
      </w:r>
    </w:p>
    <w:p>
      <w:r>
        <w:br w:type="page"/>
      </w:r>
    </w:p>
    <w:p>
      <w:pPr>
        <w:keepNext/>
        <w:spacing w:line="480" w:lineRule="auto" w:before="0" w:after="0"/>
        <w:jc w:val="center"/>
      </w:pPr>
      <w:r>
        <w:rPr>
          <w:rFonts w:ascii="Times New Roman" w:hAnsi="Times New Roman" w:eastAsia="Times New Roman" w:cs="Times New Roman"/>
          <w:b/>
          <w:sz w:val="24"/>
          <w:lang w:val="es-ES"/>
        </w:rPr>
        <w:t>Organización empresarial, comerciantes y diferenciación en la agricultura latinoamericana</w:t>
      </w:r>
    </w:p>
    <w:p>
      <w:pPr>
        <w:spacing w:line="480" w:lineRule="auto" w:before="0" w:after="0"/>
        <w:ind w:firstLine="720"/>
        <w:jc w:val="both"/>
      </w:pPr>
      <w:r>
        <w:rPr>
          <w:rFonts w:ascii="Times New Roman" w:hAnsi="Times New Roman" w:eastAsia="Times New Roman" w:cs="Times New Roman"/>
          <w:sz w:val="24"/>
          <w:lang w:val="es-ES"/>
        </w:rPr>
        <w:t>La agricultura de la región produce cada vez más para mercados exigentes, pero muchos de sus productores siguen vendiendo materia prima sin marca, sin contrato y sin información sobre quién consume lo que cultivan. Las tres lecturas de la unidad ayudan a explicar esa distancia. La presentación del curso expone las figuras jurídicas con que se organiza la actividad mercantil; Gibson, Brenes y Barahona describen cómo algunas empresas de América Latina convirtieron la innovación en una práctica permanente; y Brenes, Montoya y Ciravegna comparan agroempresas que logran cobrar precios superiores con las que no lo consiguen. Leídas en conjunto sostienen la idea que quiero desarrollar aquí: la organización empresarial no es un requisito formal posterior a la producción, sino la condición que permite que el trabajo agrícola se convierta en valor y que ese valor quede en manos de quien lo genera. Defenderlo obliga a admitir que organizarse cuesta y que no toda estructura sirve para toda escala.</w:t>
      </w:r>
    </w:p>
    <w:p>
      <w:pPr>
        <w:keepNext/>
        <w:spacing w:line="480" w:lineRule="auto" w:before="0" w:after="0"/>
        <w:jc w:val="left"/>
      </w:pPr>
      <w:r>
        <w:rPr>
          <w:rFonts w:ascii="Times New Roman" w:hAnsi="Times New Roman" w:eastAsia="Times New Roman" w:cs="Times New Roman"/>
          <w:b/>
          <w:sz w:val="24"/>
          <w:lang w:val="es-ES"/>
        </w:rPr>
        <w:t>El comerciante y la empresa mercantil agrícola</w:t>
      </w:r>
    </w:p>
    <w:p>
      <w:pPr>
        <w:spacing w:line="480" w:lineRule="auto" w:before="0" w:after="0"/>
        <w:ind w:firstLine="720"/>
        <w:jc w:val="both"/>
      </w:pPr>
      <w:r>
        <w:rPr>
          <w:rFonts w:ascii="Times New Roman" w:hAnsi="Times New Roman" w:eastAsia="Times New Roman" w:cs="Times New Roman"/>
          <w:sz w:val="24"/>
          <w:lang w:val="es-ES"/>
        </w:rPr>
        <w:t>El punto de partida de la unidad es la noción de mercantilidad. Existen actos mercantiles formales y esos actos los realizan comerciantes, que pueden ser individuales o sociales (Soto Díaz, 2025). Aplicado al campo, comprar insumos, contratar trabajadores, procesar fruta, registrar una marca o firmar un contrato de suministro son actos de comercio, y para celebrarlos hace falta un sujeto con existencia jurídica, patrimonio identificable y una forma reconocible de tomar decisiones.</w:t>
      </w:r>
    </w:p>
    <w:p>
      <w:pPr>
        <w:spacing w:line="480" w:lineRule="auto" w:before="0" w:after="0"/>
        <w:ind w:firstLine="720"/>
        <w:jc w:val="both"/>
      </w:pPr>
      <w:r>
        <w:rPr>
          <w:rFonts w:ascii="Times New Roman" w:hAnsi="Times New Roman" w:eastAsia="Times New Roman" w:cs="Times New Roman"/>
          <w:sz w:val="24"/>
          <w:lang w:val="es-ES"/>
        </w:rPr>
        <w:t>El comerciante individual concentra en una sola persona la propiedad, la administración y el riesgo. Esa concentración explica sus dos caras. Por un lado permite decidir rápido, sin asambleas ni deliberaciones, lo cual resulta razonable en una explotación pequeña financiada con recursos propios. Por otro lado hace que el negocio dependa del titular y que su patrimonio personal responda por las obligaciones de la actividad. En una finca familiar eso no es menor, porque una mala campaña puede alcanzar bienes ajenos a la producción y la continuidad del negocio queda sujeta a una sola persona.</w:t>
      </w:r>
    </w:p>
    <w:p>
      <w:pPr>
        <w:spacing w:line="480" w:lineRule="auto" w:before="0" w:after="0"/>
        <w:ind w:firstLine="720"/>
        <w:jc w:val="both"/>
      </w:pPr>
      <w:r>
        <w:rPr>
          <w:rFonts w:ascii="Times New Roman" w:hAnsi="Times New Roman" w:eastAsia="Times New Roman" w:cs="Times New Roman"/>
          <w:sz w:val="24"/>
          <w:lang w:val="es-ES"/>
        </w:rPr>
        <w:t>Las sociedades mercantiles responden a ese límite de maneras distintas. La sociedad de responsabilidad limitada conserva un carácter personalista, admite un número máximo de socios, divide la propiedad en partes sociales cuya transmisión está regulada y suele operar con una administración menos burocrática encabezada por un gerente general (Soto Díaz, 2025). Esa combinación se ajusta bien a un grupo reducido de productores que se conocen entre sí y que no quieren que ingrese cualquier tercero. La sociedad anónima está pensada para negocios que requieren mucho capital: la propiedad se representa en acciones, que son iguales e indivisibles, circulan como títulos valores y otorgan derecho a dividendos y a voto, mientras la representación legal recae en un consejo de administración o en un administrador único (Soto Díaz, 2025). La presentación señala que en esta figura la vida de la sociedad importa más que el bienestar de los socios, y agrega que permite el acceso a negocios de gran magnitud a personas que de otro modo no podrían participar en ellos.</w:t>
      </w:r>
    </w:p>
    <w:p>
      <w:pPr>
        <w:spacing w:line="480" w:lineRule="auto" w:before="0" w:after="0"/>
        <w:ind w:firstLine="720"/>
        <w:jc w:val="both"/>
      </w:pPr>
      <w:r>
        <w:rPr>
          <w:rFonts w:ascii="Times New Roman" w:hAnsi="Times New Roman" w:eastAsia="Times New Roman" w:cs="Times New Roman"/>
          <w:sz w:val="24"/>
          <w:lang w:val="es-ES"/>
        </w:rPr>
        <w:t>Conviene detenerse en esa afirmación. Que la sociedad sobreviva a sus socios es una virtud cuando hay que sostener una planta procesadora durante décadas, pero también implica que el socio minoritario puede quedar subordinado a decisiones que no controla. La responsabilidad limitada, eje transversal de las sociedades mercantiles según la unidad, protege al socio porque traslada parte del riesgo a los acreedores y proveedores. Reconocerlo no invalida la figura: ayuda a elegirla con criterio y explica por qué el gobierno societario, con asambleas ordinarias y extraordinarias, es el mecanismo que hace tolerable esa asimetría.</w:t>
      </w:r>
    </w:p>
    <w:p>
      <w:pPr>
        <w:spacing w:line="480" w:lineRule="auto" w:before="0" w:after="0"/>
        <w:ind w:firstLine="720"/>
        <w:jc w:val="both"/>
      </w:pPr>
      <w:r>
        <w:rPr>
          <w:rFonts w:ascii="Times New Roman" w:hAnsi="Times New Roman" w:eastAsia="Times New Roman" w:cs="Times New Roman"/>
          <w:sz w:val="24"/>
          <w:lang w:val="es-ES"/>
        </w:rPr>
        <w:t>Un elemento que me parece decisivo para el agro es la empresa mercantil entendida como bien mueble, integrada por el establecimiento, el nombre comercial, las muestras y signos distintivos, las marcas y las patentes (Soto Díaz, 2025). Esta definición desplaza el valor desde lo tangible hacia lo intangible. Una finca vale por su tierra y su maquinaria; una empresa agrícola consolidada vale además por un nombre que el comprador reconoce y por procedimientos que sus competidores no tienen. Esos activos solo pueden registrarse, defenderse y transmitirse si existe una estructura jurídica que los aloje.</w:t>
      </w:r>
    </w:p>
    <w:p>
      <w:pPr>
        <w:keepNext/>
        <w:spacing w:line="480" w:lineRule="auto" w:before="0" w:after="0"/>
        <w:jc w:val="left"/>
      </w:pPr>
      <w:r>
        <w:rPr>
          <w:rFonts w:ascii="Times New Roman" w:hAnsi="Times New Roman" w:eastAsia="Times New Roman" w:cs="Times New Roman"/>
          <w:b/>
          <w:sz w:val="24"/>
          <w:lang w:val="es-ES"/>
        </w:rPr>
        <w:t>La innovación como capacidad organizada</w:t>
      </w:r>
    </w:p>
    <w:p>
      <w:pPr>
        <w:spacing w:line="480" w:lineRule="auto" w:before="0" w:after="0"/>
        <w:ind w:firstLine="720"/>
        <w:jc w:val="both"/>
      </w:pPr>
      <w:r>
        <w:rPr>
          <w:rFonts w:ascii="Times New Roman" w:hAnsi="Times New Roman" w:eastAsia="Times New Roman" w:cs="Times New Roman"/>
          <w:sz w:val="24"/>
          <w:lang w:val="es-ES"/>
        </w:rPr>
        <w:t>Gibson et al. (2011) amplían el concepto de innovación más allá de los laboratorios, los científicos y las patentes, para incluir procesos, productos, tecnologías, servicios, estrategias de mercadeo, experiencia del cliente, esquemas de abastecimiento, estructuras de costos, modelos de negocio y prácticas de gestión. Esta definición amplia resulta especialmente pertinente en agricultura, donde las mejoras que cambian los resultados rara vez son inventos: un empaque que alarga la vida útil, un acuerdo que acorta la cadena, un subproducto que antes se descartaba.</w:t>
      </w:r>
    </w:p>
    <w:p>
      <w:pPr>
        <w:spacing w:line="480" w:lineRule="auto" w:before="0" w:after="0"/>
        <w:ind w:firstLine="720"/>
        <w:jc w:val="both"/>
      </w:pPr>
      <w:r>
        <w:rPr>
          <w:rFonts w:ascii="Times New Roman" w:hAnsi="Times New Roman" w:eastAsia="Times New Roman" w:cs="Times New Roman"/>
          <w:sz w:val="24"/>
          <w:lang w:val="es-ES"/>
        </w:rPr>
        <w:t>El argumento central de los autores es que las empresas que innovan de forma constante y rentable lo logran porque institucionalizaron la innovación con el mismo esfuerzo con que otras organizaciones institucionalizaron la calidad total o el servicio al cliente, y que ese proceso debe estar liderado desde el nivel más alto (Gibson et al., 2011). Natura ilustra el caso más estructurado, con una vicepresidencia de innovación, comités en cada unidad de negocio y equipos multifuncionales. BAC Credomatic administra las ideas mediante ferias internas y premia su implementación, no su formulación. Los Grobo capacita a sus productores y coordina la cadena con herramientas propias, lo que le permite operar con pocos activos físicos. Grupo Britt contrata perfiles emprendedores, acepta el error dentro de ciertos márgenes y recoge ideas de sus clientes.</w:t>
      </w:r>
    </w:p>
    <w:p>
      <w:pPr>
        <w:spacing w:line="480" w:lineRule="auto" w:before="0" w:after="0"/>
        <w:ind w:firstLine="720"/>
        <w:jc w:val="both"/>
      </w:pPr>
      <w:r>
        <w:rPr>
          <w:rFonts w:ascii="Times New Roman" w:hAnsi="Times New Roman" w:eastAsia="Times New Roman" w:cs="Times New Roman"/>
          <w:sz w:val="24"/>
          <w:lang w:val="es-ES"/>
        </w:rPr>
        <w:t>El texto es útil, aunque conviene leerlo sabiendo qué tipo de texto es. Describe empresas que ya tuvieron éxito y busca lo que tienen en común, de modo que no permite saber cuántas adoptaron estructuras semejantes y fracasaron. Cabe preguntarse además si la estructura produjo los resultados o si los resultados financiaron la estructura, porque una vicepresidencia dedicada a innovar solo la sostiene una empresa ya rentable. La conclusión que resiste es más modesta: la innovación sostenida requiere alguien responsable, un procedimiento para evaluar ideas y seguimiento de la ejecución, aunque en una empresa pequeña eso sea una persona y una reunión mensual.</w:t>
      </w:r>
    </w:p>
    <w:p>
      <w:pPr>
        <w:spacing w:line="480" w:lineRule="auto" w:before="0" w:after="0"/>
        <w:ind w:firstLine="720"/>
        <w:jc w:val="both"/>
      </w:pPr>
      <w:r>
        <w:rPr>
          <w:rFonts w:ascii="Times New Roman" w:hAnsi="Times New Roman" w:eastAsia="Times New Roman" w:cs="Times New Roman"/>
          <w:sz w:val="24"/>
          <w:lang w:val="es-ES"/>
        </w:rPr>
        <w:t>El caso de Coopedota merece atención por una razón que el artículo menciona al pasar. La cooperativa logró el primer café que neutraliza por completo sus emisiones de carbono trabajando en red con proveedores, universidades y consultores, y sus productores aceptaron recibir menos dividendos para financiar la experimentación (Gibson et al., 2011). Innovar tiene entonces un costo distributivo: alguien deja de recibir ingreso presente para financiar un resultado incierto. Por eso la innovación no puede separarse del gobierno societario, ya que una decisión así requiere una asamblea que la apruebe y socios informados sobre lo que arriesgan. La estructura jurídica es lo que vuelve legítima una apuesta técnica.</w:t>
      </w:r>
    </w:p>
    <w:p>
      <w:pPr>
        <w:keepNext/>
        <w:spacing w:line="480" w:lineRule="auto" w:before="0" w:after="0"/>
        <w:jc w:val="left"/>
      </w:pPr>
      <w:r>
        <w:rPr>
          <w:rFonts w:ascii="Times New Roman" w:hAnsi="Times New Roman" w:eastAsia="Times New Roman" w:cs="Times New Roman"/>
          <w:b/>
          <w:sz w:val="24"/>
          <w:lang w:val="es-ES"/>
        </w:rPr>
        <w:t>La diferenciación en los agronegocios</w:t>
      </w:r>
    </w:p>
    <w:p>
      <w:pPr>
        <w:spacing w:line="480" w:lineRule="auto" w:before="0" w:after="0"/>
        <w:ind w:firstLine="720"/>
        <w:jc w:val="both"/>
      </w:pPr>
      <w:r>
        <w:rPr>
          <w:rFonts w:ascii="Times New Roman" w:hAnsi="Times New Roman" w:eastAsia="Times New Roman" w:cs="Times New Roman"/>
          <w:sz w:val="24"/>
          <w:lang w:val="es-ES"/>
        </w:rPr>
        <w:t>Brenes et al. (2014) estudian 66 agroempresas de alto valor agregado en ocho países del trópico húmedo latinoamericano y comparan las que aplican una estrategia de diferenciación con las que siguen liderazgo en costos o quedan en una posición intermedia. Su modelo distingue cinco dimensiones: capacidad de innovación, habilidades de mercadeo, alcance agroindustrial, habilidades operativas y calidad de la gestión. Las mayores diferencias entre ambos grupos aparecen en capacidad de innovación y en habilidades de mercadeo; las habilidades operativas apenas separan a unos de otros. Los autores advierten que la investigación es exploratoria y que las diferencias que reportan no denotan significancia estadística, de modo que conviene leerlas como un retrato de prácticas y no como una relación comprobada.</w:t>
      </w:r>
    </w:p>
    <w:p>
      <w:pPr>
        <w:spacing w:line="480" w:lineRule="auto" w:before="0" w:after="0"/>
        <w:ind w:firstLine="720"/>
        <w:jc w:val="both"/>
      </w:pPr>
      <w:r>
        <w:rPr>
          <w:rFonts w:ascii="Times New Roman" w:hAnsi="Times New Roman" w:eastAsia="Times New Roman" w:cs="Times New Roman"/>
          <w:sz w:val="24"/>
          <w:lang w:val="es-ES"/>
        </w:rPr>
        <w:t>Ese retrato es informativo. Entre las empresas que se diferencian, el 82% usa marcas propias en grado alto o extremo, el 91% conoce el perfil de su cliente final, el 76% emplea el origen como herramienta de mercadeo y el 58% declara más certificaciones internacionales que sus competidores, frente al 33% del otro grupo (Brenes et al., 2014). El contraste entre dos productoras de mango resume el mecanismo: una definió las variedades a partir de los mercados de destino y la otra las eligió solo por condiciones agronómicas, para descubrir tarde que su fruta no tenía buena acogida donde pretendía venderla. La decisión agrícola tomada sin decisión comercial previa se paga varios años después, cuando ya no admite corrección.</w:t>
      </w:r>
    </w:p>
    <w:p>
      <w:pPr>
        <w:spacing w:line="480" w:lineRule="auto" w:before="0" w:after="0"/>
        <w:ind w:firstLine="720"/>
        <w:jc w:val="both"/>
      </w:pPr>
      <w:r>
        <w:rPr>
          <w:rFonts w:ascii="Times New Roman" w:hAnsi="Times New Roman" w:eastAsia="Times New Roman" w:cs="Times New Roman"/>
          <w:sz w:val="24"/>
          <w:lang w:val="es-ES"/>
        </w:rPr>
        <w:t>Las certificaciones y la distribución cumplen funciones equivalentes. Una certificación vuelve verificable un atributo que el comprador no puede comprobar por sí mismo, y el control del canal asegura que la promesa llegue intacta. Grupo Britt asumió su propia distribución cuando advirtió que el operador contratado no entendía qué hacía distintos a sus productos, y Monteverde adquirió una distribuidora especializada en refrigerados (Brenes et al., 2014). De ahí no se sigue que toda agroempresa deba integrarse verticalmente. Los Grobo, celebrada por Gibson et al. (2011) por su liviandad en activos, comercializa granos básicos, donde diferenciarse por atributos es difícil y la ventaja está en coordinar y reducir costos. La lección razonable es que la integración conviene cuando el valor puede perderse en el canal, y no como principio general.</w:t>
      </w:r>
    </w:p>
    <w:p>
      <w:pPr>
        <w:spacing w:line="480" w:lineRule="auto" w:before="0" w:after="0"/>
        <w:ind w:firstLine="720"/>
        <w:jc w:val="both"/>
      </w:pPr>
      <w:r>
        <w:rPr>
          <w:rFonts w:ascii="Times New Roman" w:hAnsi="Times New Roman" w:eastAsia="Times New Roman" w:cs="Times New Roman"/>
          <w:sz w:val="24"/>
          <w:lang w:val="es-ES"/>
        </w:rPr>
        <w:t>También llama la atención que las empresas diferenciadas se internacionalicen con más cautela: el 79% opera en uno o dos países, porque sostener precios superiores exige consolidar la marca antes de abrir mercados nuevos (Brenes et al., 2014). Esto contradice la idea de que crecer consiste en llegar pronto a muchos destinos.</w:t>
      </w:r>
    </w:p>
    <w:p>
      <w:pPr>
        <w:spacing w:line="480" w:lineRule="auto" w:before="0" w:after="0"/>
        <w:ind w:firstLine="720"/>
        <w:jc w:val="both"/>
      </w:pPr>
      <w:r>
        <w:rPr>
          <w:rFonts w:ascii="Times New Roman" w:hAnsi="Times New Roman" w:eastAsia="Times New Roman" w:cs="Times New Roman"/>
          <w:sz w:val="24"/>
          <w:lang w:val="es-ES"/>
        </w:rPr>
        <w:t>Queda un punto que las lecturas no discuten y que me parece central para la región. Si el origen es una de las principales herramientas de diferenciación, conviene notar que el origen no es un activo que una empresa fabrique sola: depende de la reputación del país, de la credibilidad sanitaria y de denominaciones que funcionan como bienes colectivos. Para una agricultura dominada por productores pequeños, esto sugiere que la vía practicable pasa menos por imitar la estructura de una gran corporación y más por asociarse para construir y cuidar activos compartidos, lo cual devuelve el problema al terreno de las formas societarias con que empezó la unidad.</w:t>
      </w:r>
    </w:p>
    <w:p>
      <w:pPr>
        <w:keepNext/>
        <w:spacing w:line="480" w:lineRule="auto" w:before="0" w:after="0"/>
        <w:jc w:val="left"/>
      </w:pPr>
      <w:r>
        <w:rPr>
          <w:rFonts w:ascii="Times New Roman" w:hAnsi="Times New Roman" w:eastAsia="Times New Roman" w:cs="Times New Roman"/>
          <w:b/>
          <w:sz w:val="24"/>
          <w:lang w:val="es-ES"/>
        </w:rPr>
        <w:t>Conclusiones</w:t>
      </w:r>
    </w:p>
    <w:p>
      <w:pPr>
        <w:spacing w:line="480" w:lineRule="auto" w:before="0" w:after="0"/>
        <w:ind w:firstLine="720"/>
        <w:jc w:val="both"/>
      </w:pPr>
      <w:r>
        <w:rPr>
          <w:rFonts w:ascii="Times New Roman" w:hAnsi="Times New Roman" w:eastAsia="Times New Roman" w:cs="Times New Roman"/>
          <w:sz w:val="24"/>
          <w:lang w:val="es-ES"/>
        </w:rPr>
        <w:t>La organización empresarial es lo que convierte la actividad agrícola en un negocio capaz de retener el valor que produce, y esa es la idea que he tratado de sostener a lo largo del ensayo. Las figuras del comerciante individual y de las sociedades mercantiles definen quién responde, quién decide y cómo se transmite la propiedad; la empresa mercantil reúne y protege los activos intangibles donde hoy reside buena parte del precio; la innovación entendida como capacidad organizada permite que las mejoras se repitan en lugar de ocurrir por casualidad; y la diferenciación conecta esas mejoras con atributos que el comprador reconoce y paga.</w:t>
      </w:r>
    </w:p>
    <w:p>
      <w:pPr>
        <w:spacing w:line="480" w:lineRule="auto" w:before="0" w:after="0"/>
        <w:ind w:firstLine="720"/>
        <w:jc w:val="both"/>
      </w:pPr>
      <w:r>
        <w:rPr>
          <w:rFonts w:ascii="Times New Roman" w:hAnsi="Times New Roman" w:eastAsia="Times New Roman" w:cs="Times New Roman"/>
          <w:sz w:val="24"/>
          <w:lang w:val="es-ES"/>
        </w:rPr>
        <w:t>Ninguno de esos elementos funciona aislado. Una marca sin respaldo productivo se agota, una innovación sin gobierno que la apruebe no se ejecuta, y una cosecha excelente sin canal ni contrato termina vendida al primer intermediario en las condiciones que él fije. Mi conclusión no es que todo productor deba formalizarse al máximo, porque la estructura cuesta y una asamblea es lenta cuando hay que decidir en plena cosecha. Es que cada agroempresa necesita el grado de organización proporcional al valor que pretende capturar: quien vende commodity puede sobrevivir con poca estructura, pero quien aspira a cobrar más que sus competidores necesita marca, certificaciones, gobierno y reglas de decisión, y eso requiere una figura jurídica que lo sostenga. El desafío de la región no parece ser la falta de ideas, que los casos revisados demuestran de sobra, sino construir organizaciones capaces de volverlas permanentes.</w:t>
      </w:r>
    </w:p>
    <w:p>
      <w:r>
        <w:br w:type="page"/>
      </w:r>
    </w:p>
    <w:p>
      <w:pPr>
        <w:keepNext/>
        <w:spacing w:line="480" w:lineRule="auto" w:before="0" w:after="0"/>
        <w:jc w:val="center"/>
      </w:pPr>
      <w:r>
        <w:rPr>
          <w:rFonts w:ascii="Times New Roman" w:hAnsi="Times New Roman" w:eastAsia="Times New Roman" w:cs="Times New Roman"/>
          <w:b/>
          <w:sz w:val="24"/>
          <w:lang w:val="es-ES"/>
        </w:rPr>
        <w:t>Referencias</w:t>
      </w:r>
    </w:p>
    <w:p>
      <w:pPr>
        <w:spacing w:line="480" w:lineRule="auto" w:before="0" w:after="0"/>
        <w:ind w:left="720" w:hanging="720"/>
        <w:jc w:val="left"/>
      </w:pPr>
      <w:r>
        <w:rPr>
          <w:rFonts w:ascii="Times New Roman" w:hAnsi="Times New Roman" w:eastAsia="Times New Roman" w:cs="Times New Roman"/>
          <w:i w:val="0"/>
          <w:sz w:val="24"/>
          <w:lang w:val="es-ES"/>
        </w:rPr>
        <w:t xml:space="preserve">Brenes, E. R., Montoya, D., &amp; Ciravegna, L. (2014). Differentiation strategies in emerging markets: The case of Latin American agribusinesses. </w:t>
      </w:r>
      <w:r>
        <w:rPr>
          <w:rFonts w:ascii="Times New Roman" w:hAnsi="Times New Roman" w:eastAsia="Times New Roman" w:cs="Times New Roman"/>
          <w:i/>
          <w:sz w:val="24"/>
          <w:lang w:val="es-ES"/>
        </w:rPr>
        <w:t>Journal of Business Research, 67</w:t>
      </w:r>
      <w:r>
        <w:rPr>
          <w:rFonts w:ascii="Times New Roman" w:hAnsi="Times New Roman" w:eastAsia="Times New Roman" w:cs="Times New Roman"/>
          <w:i w:val="0"/>
          <w:sz w:val="24"/>
          <w:lang w:val="es-ES"/>
        </w:rPr>
        <w:t>, 847-855. https://doi.org/10.1016/j.jbusres.2013.07.003</w:t>
      </w:r>
    </w:p>
    <w:p>
      <w:pPr>
        <w:spacing w:line="480" w:lineRule="auto" w:before="0" w:after="0"/>
        <w:ind w:left="720" w:hanging="720"/>
        <w:jc w:val="left"/>
      </w:pPr>
      <w:r>
        <w:rPr>
          <w:rFonts w:ascii="Times New Roman" w:hAnsi="Times New Roman" w:eastAsia="Times New Roman" w:cs="Times New Roman"/>
          <w:i w:val="0"/>
          <w:sz w:val="24"/>
          <w:lang w:val="es-ES"/>
        </w:rPr>
        <w:t xml:space="preserve">Gibson, R., Brenes, E. R., &amp; Barahona, J. C. (2011). Campeones de la innovación en Latinoamérica. </w:t>
      </w:r>
      <w:r>
        <w:rPr>
          <w:rFonts w:ascii="Times New Roman" w:hAnsi="Times New Roman" w:eastAsia="Times New Roman" w:cs="Times New Roman"/>
          <w:i/>
          <w:sz w:val="24"/>
          <w:lang w:val="es-ES"/>
        </w:rPr>
        <w:t>INCAE Business Review, 2</w:t>
      </w:r>
      <w:r>
        <w:rPr>
          <w:rFonts w:ascii="Times New Roman" w:hAnsi="Times New Roman" w:eastAsia="Times New Roman" w:cs="Times New Roman"/>
          <w:i w:val="0"/>
          <w:sz w:val="24"/>
          <w:lang w:val="es-ES"/>
        </w:rPr>
        <w:t>(3), 2-6.</w:t>
      </w:r>
    </w:p>
    <w:p>
      <w:pPr>
        <w:spacing w:line="480" w:lineRule="auto" w:before="0" w:after="0"/>
        <w:ind w:left="720" w:hanging="720"/>
        <w:jc w:val="left"/>
      </w:pPr>
      <w:r>
        <w:rPr>
          <w:rFonts w:ascii="Times New Roman" w:hAnsi="Times New Roman" w:eastAsia="Times New Roman" w:cs="Times New Roman"/>
          <w:i w:val="0"/>
          <w:sz w:val="24"/>
          <w:lang w:val="es-ES"/>
        </w:rPr>
        <w:t xml:space="preserve">Soto Díaz, R. A. (2025). </w:t>
      </w:r>
      <w:r>
        <w:rPr>
          <w:rFonts w:ascii="Times New Roman" w:hAnsi="Times New Roman" w:eastAsia="Times New Roman" w:cs="Times New Roman"/>
          <w:i/>
          <w:sz w:val="24"/>
          <w:lang w:val="es-ES"/>
        </w:rPr>
        <w:t>Acuerdos comerciales: Unidad I</w:t>
      </w:r>
      <w:r>
        <w:rPr>
          <w:rFonts w:ascii="Times New Roman" w:hAnsi="Times New Roman" w:eastAsia="Times New Roman" w:cs="Times New Roman"/>
          <w:i w:val="0"/>
          <w:sz w:val="24"/>
          <w:lang w:val="es-ES"/>
        </w:rPr>
        <w:t xml:space="preserve"> [Presentación de PowerPoint]. Escuela Agrícola Panamericana, Zamorano.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s="Times New Roman"/>
        <w:sz w:val="24"/>
        <w:lang w:val="es-ES"/>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Organización empresarial, comerciantes y diferenciación en la agricultura latinoamericana</dc:title>
  <dc:subject/>
  <dc:creator>[Nombre del estudiante]</dc:creator>
  <cp:keywords/>
  <dc:description>generated by python-docx</dc:description>
  <cp:lastModifiedBy/>
  <cp:revision>1</cp:revision>
  <dcterms:created xsi:type="dcterms:W3CDTF">2013-12-23T23:15:00Z</dcterms:created>
  <dcterms:modified xsi:type="dcterms:W3CDTF">2013-12-23T23:15:00Z</dcterms:modified>
  <cp:category/>
</cp:coreProperties>
</file>