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keepNext/>
        <w:spacing w:line="480" w:lineRule="auto" w:before="0" w:after="0"/>
        <w:jc w:val="center"/>
      </w:pPr>
      <w:r>
        <w:rPr>
          <w:rFonts w:ascii="Times New Roman" w:hAnsi="Times New Roman" w:eastAsia="Times New Roman" w:cs="Times New Roman"/>
          <w:b/>
          <w:sz w:val="24"/>
          <w:lang w:val="es-ES"/>
        </w:rPr>
        <w:t>Tres textos que se dan demasiado la razón: una lectura crítica del agro latinoamericano</w:t>
      </w:r>
    </w:p>
    <w:p>
      <w:pPr>
        <w:spacing w:line="480" w:lineRule="auto" w:before="0" w:after="0"/>
        <w:jc w:val="center"/>
      </w:pPr>
      <w:r>
        <w:rPr>
          <w:rFonts w:ascii="Times New Roman" w:hAnsi="Times New Roman" w:eastAsia="Times New Roman" w:cs="Times New Roman"/>
          <w:sz w:val="24"/>
          <w:lang w:val="es-ES"/>
        </w:rPr>
        <w:t>[Nombre del estudiante]</w:t>
      </w:r>
    </w:p>
    <w:p>
      <w:pPr>
        <w:spacing w:line="480" w:lineRule="auto" w:before="0" w:after="0"/>
        <w:jc w:val="center"/>
      </w:pPr>
      <w:r>
        <w:rPr>
          <w:rFonts w:ascii="Times New Roman" w:hAnsi="Times New Roman" w:eastAsia="Times New Roman" w:cs="Times New Roman"/>
          <w:sz w:val="24"/>
          <w:lang w:val="es-ES"/>
        </w:rPr>
        <w:t>Escuela Agrícola Panamericana, Zamorano</w:t>
      </w:r>
    </w:p>
    <w:p>
      <w:pPr>
        <w:spacing w:line="480" w:lineRule="auto" w:before="0" w:after="0"/>
        <w:jc w:val="center"/>
      </w:pPr>
      <w:r>
        <w:rPr>
          <w:rFonts w:ascii="Times New Roman" w:hAnsi="Times New Roman" w:eastAsia="Times New Roman" w:cs="Times New Roman"/>
          <w:sz w:val="24"/>
          <w:lang w:val="es-ES"/>
        </w:rPr>
        <w:t>Acuerdos comerciales</w:t>
      </w:r>
    </w:p>
    <w:p>
      <w:pPr>
        <w:spacing w:line="480" w:lineRule="auto" w:before="0" w:after="0"/>
        <w:jc w:val="center"/>
      </w:pPr>
      <w:r>
        <w:rPr>
          <w:rFonts w:ascii="Times New Roman" w:hAnsi="Times New Roman" w:eastAsia="Times New Roman" w:cs="Times New Roman"/>
          <w:sz w:val="24"/>
          <w:lang w:val="es-ES"/>
        </w:rPr>
        <w:t>Dr. Raúl A. Soto D.</w:t>
      </w:r>
    </w:p>
    <w:p>
      <w:pPr>
        <w:spacing w:line="480" w:lineRule="auto" w:before="0" w:after="0"/>
        <w:jc w:val="center"/>
      </w:pPr>
      <w:r>
        <w:rPr>
          <w:rFonts w:ascii="Times New Roman" w:hAnsi="Times New Roman" w:eastAsia="Times New Roman" w:cs="Times New Roman"/>
          <w:sz w:val="24"/>
          <w:lang w:val="es-ES"/>
        </w:rPr>
        <w:t>[Fecha de entrega]</w:t>
      </w:r>
    </w:p>
    <w:p>
      <w:r>
        <w:br w:type="page"/>
      </w:r>
    </w:p>
    <w:p>
      <w:pPr>
        <w:keepNext/>
        <w:spacing w:line="480" w:lineRule="auto" w:before="0" w:after="0"/>
        <w:jc w:val="center"/>
      </w:pPr>
      <w:r>
        <w:rPr>
          <w:rFonts w:ascii="Times New Roman" w:hAnsi="Times New Roman" w:eastAsia="Times New Roman" w:cs="Times New Roman"/>
          <w:b/>
          <w:sz w:val="24"/>
          <w:lang w:val="es-ES"/>
        </w:rPr>
        <w:t>Tres textos que se dan demasiado la razón: una lectura crítica del agro latinoamericano</w:t>
      </w:r>
    </w:p>
    <w:p>
      <w:pPr>
        <w:spacing w:line="480" w:lineRule="auto" w:before="0" w:after="0"/>
        <w:ind w:firstLine="720"/>
        <w:jc w:val="both"/>
      </w:pPr>
      <w:r>
        <w:rPr>
          <w:rFonts w:ascii="Times New Roman" w:hAnsi="Times New Roman" w:eastAsia="Times New Roman" w:cs="Times New Roman"/>
          <w:sz w:val="24"/>
          <w:lang w:val="es-ES"/>
        </w:rPr>
        <w:t>Cuando terminé de leer los tres materiales tuve una sensación incómoda. Los tres decían básicamente lo mismo, y encajaban tan bien entre ellos que parecía sospechoso. La presentación de la unidad explica cómo organizarse legalmente, Gibson y sus colegas dicen que hay que institucionalizar la innovación, y Brenes y su equipo muestran con datos que las empresas que innovan y hacen mercadeo cobran más caro. Uno cierra la carpeta convencido. El problema es que ese encaje tan limpio fue justamente lo que me hizo desconfiar.</w:t>
      </w:r>
    </w:p>
    <w:p>
      <w:pPr>
        <w:spacing w:line="480" w:lineRule="auto" w:before="0" w:after="0"/>
        <w:ind w:firstLine="720"/>
        <w:jc w:val="both"/>
      </w:pPr>
      <w:r>
        <w:rPr>
          <w:rFonts w:ascii="Times New Roman" w:hAnsi="Times New Roman" w:eastAsia="Times New Roman" w:cs="Times New Roman"/>
          <w:sz w:val="24"/>
          <w:lang w:val="es-ES"/>
        </w:rPr>
        <w:t>Voy a defender que la organización empresarial sí es determinante para la agricultura, pero que las lecturas lo demuestran con evidencia más débil de lo que aparentan, y que en un punto se contradicen. El argumento sobrevive, aunque no de la forma ordenada en que los textos lo plantean.</w:t>
      </w:r>
    </w:p>
    <w:p>
      <w:pPr>
        <w:keepNext/>
        <w:spacing w:line="480" w:lineRule="auto" w:before="0" w:after="0"/>
        <w:jc w:val="left"/>
      </w:pPr>
      <w:r>
        <w:rPr>
          <w:rFonts w:ascii="Times New Roman" w:hAnsi="Times New Roman" w:eastAsia="Times New Roman" w:cs="Times New Roman"/>
          <w:b/>
          <w:sz w:val="24"/>
          <w:lang w:val="es-ES"/>
        </w:rPr>
        <w:t>Lo primero es lo obvio, que casi no se nota</w:t>
      </w:r>
    </w:p>
    <w:p>
      <w:pPr>
        <w:spacing w:line="480" w:lineRule="auto" w:before="0" w:after="0"/>
        <w:ind w:firstLine="720"/>
        <w:jc w:val="both"/>
      </w:pPr>
      <w:r>
        <w:rPr>
          <w:rFonts w:ascii="Times New Roman" w:hAnsi="Times New Roman" w:eastAsia="Times New Roman" w:cs="Times New Roman"/>
          <w:sz w:val="24"/>
          <w:lang w:val="es-ES"/>
        </w:rPr>
        <w:t>Empiezo por algo que descubrí revisando las referencias del artículo de Brenes, Montoya y Ciravegna: ellos citan a Gibson, Brenes y Barahona (2011) en su propio marco teórico, para sustentar la dimensión de capacidad de innovación (Brenes et al., 2014). Mis dos fuentes de estrategia no son independientes. Esteban Brenes firma las dos, ambas salen del mismo programa del INCAE, y Grupo Britt aparece como caso de éxito en las dos.</w:t>
      </w:r>
    </w:p>
    <w:p>
      <w:pPr>
        <w:spacing w:line="480" w:lineRule="auto" w:before="0" w:after="0"/>
        <w:ind w:firstLine="720"/>
        <w:jc w:val="both"/>
      </w:pPr>
      <w:r>
        <w:rPr>
          <w:rFonts w:ascii="Times New Roman" w:hAnsi="Times New Roman" w:eastAsia="Times New Roman" w:cs="Times New Roman"/>
          <w:sz w:val="24"/>
          <w:lang w:val="es-ES"/>
        </w:rPr>
        <w:t>Eso no las invalida, pero cambia el peso que puedo darles. Cuando dos textos coinciden uno piensa que la evidencia se acumula. Acá no: en parte es el mismo autor confirmando su hipótesis anterior. Presentarlo como convergencia sería inflar mi propio argumento. Y no se nota leyendo el resumen, solo aparece si uno se mete a las referencias.</w:t>
      </w:r>
    </w:p>
    <w:p>
      <w:pPr>
        <w:keepNext/>
        <w:spacing w:line="480" w:lineRule="auto" w:before="0" w:after="0"/>
        <w:jc w:val="left"/>
      </w:pPr>
      <w:r>
        <w:rPr>
          <w:rFonts w:ascii="Times New Roman" w:hAnsi="Times New Roman" w:eastAsia="Times New Roman" w:cs="Times New Roman"/>
          <w:b/>
          <w:sz w:val="24"/>
          <w:lang w:val="es-ES"/>
        </w:rPr>
        <w:t>El problema de estudiar solo a los ganadores</w:t>
      </w:r>
    </w:p>
    <w:p>
      <w:pPr>
        <w:spacing w:line="480" w:lineRule="auto" w:before="0" w:after="0"/>
        <w:ind w:firstLine="720"/>
        <w:jc w:val="both"/>
      </w:pPr>
      <w:r>
        <w:rPr>
          <w:rFonts w:ascii="Times New Roman" w:hAnsi="Times New Roman" w:eastAsia="Times New Roman" w:cs="Times New Roman"/>
          <w:sz w:val="24"/>
          <w:lang w:val="es-ES"/>
        </w:rPr>
        <w:t>El artículo de Gibson et al. (2011) tiene una debilidad metodológica que me parece grave: no dice cómo eligieron las empresas. No hay muestra, no hay criterios, no hay comparación. Se llama "Campeones de la innovación" y estudia campeones: Natura, Coopedota, Los Grobo, BAC Credomatic, Britt. Todas exitosas.</w:t>
      </w:r>
    </w:p>
    <w:p>
      <w:pPr>
        <w:spacing w:line="480" w:lineRule="auto" w:before="0" w:after="0"/>
        <w:ind w:firstLine="720"/>
        <w:jc w:val="both"/>
      </w:pPr>
      <w:r>
        <w:rPr>
          <w:rFonts w:ascii="Times New Roman" w:hAnsi="Times New Roman" w:eastAsia="Times New Roman" w:cs="Times New Roman"/>
          <w:sz w:val="24"/>
          <w:lang w:val="es-ES"/>
        </w:rPr>
        <w:t>El razonamiento va hacia atrás. Toman empresas que ya ganaron y buscan qué tienen en común, y concluyen que lo que tienen en común es que institucionalizaron la innovación igual que antes institucionalizaron la calidad total o el six sigma (Gibson et al., 2011). Pero nunca vemos a la empresa que montó comités de innovación, contrató un gerente del área, hizo ferias internas y de todas formas fracasó. Y esas seguro existen. Sin ellas no hay forma de saber si la estructura causó el éxito o si solo acompaña al éxito de quien ya tenía plata.</w:t>
      </w:r>
    </w:p>
    <w:p>
      <w:pPr>
        <w:spacing w:line="480" w:lineRule="auto" w:before="0" w:after="0"/>
        <w:ind w:firstLine="720"/>
        <w:jc w:val="both"/>
      </w:pPr>
      <w:r>
        <w:rPr>
          <w:rFonts w:ascii="Times New Roman" w:hAnsi="Times New Roman" w:eastAsia="Times New Roman" w:cs="Times New Roman"/>
          <w:sz w:val="24"/>
          <w:lang w:val="es-ES"/>
        </w:rPr>
        <w:t>Y ahí está lo que más me molestó. Natura pudo crear una vicepresidencia de innovación con comités mensuales en cada unidad de negocio (Gibson et al., 2011) porque ya era líder del mercado brasileño. La estructura no la volvió rentable; la rentabilidad le permitió pagarla. La causalidad podría ir al revés de como el artículo la cuenta, y el texto nunca considera esa posibilidad.</w:t>
      </w:r>
    </w:p>
    <w:p>
      <w:pPr>
        <w:spacing w:line="480" w:lineRule="auto" w:before="0" w:after="0"/>
        <w:ind w:firstLine="720"/>
        <w:jc w:val="both"/>
      </w:pPr>
      <w:r>
        <w:rPr>
          <w:rFonts w:ascii="Times New Roman" w:hAnsi="Times New Roman" w:eastAsia="Times New Roman" w:cs="Times New Roman"/>
          <w:sz w:val="24"/>
          <w:lang w:val="es-ES"/>
        </w:rPr>
        <w:t>Hay un dato que el artículo menciona de pasada y me parece el más revelador: en Coopedota los productores estaban dispuestos a recibir menos dividendos para financiar la experimentación (Gibson et al., 2011). El texto lo presenta como prueba de una cultura abierta. Yo lo leo distinto: el costo de innovar lo pagaron los caficultores, de su ingreso, apostando a un resultado incierto. El artículo no pregunta quién tomó esa decisión ni qué habría pasado si el café carbono neutral fallaba. Ahí la organización deja de ser un tema técnico y se vuelve un tema de poder: quién decide arriesgar el ingreso de quién. Un texto celebratorio no puede hacerse esa pregunta.</w:t>
      </w:r>
    </w:p>
    <w:p>
      <w:pPr>
        <w:keepNext/>
        <w:spacing w:line="480" w:lineRule="auto" w:before="0" w:after="0"/>
        <w:jc w:val="left"/>
      </w:pPr>
      <w:r>
        <w:rPr>
          <w:rFonts w:ascii="Times New Roman" w:hAnsi="Times New Roman" w:eastAsia="Times New Roman" w:cs="Times New Roman"/>
          <w:b/>
          <w:sz w:val="24"/>
          <w:lang w:val="es-ES"/>
        </w:rPr>
        <w:t>Datos que dicen menos de lo que parecen</w:t>
      </w:r>
    </w:p>
    <w:p>
      <w:pPr>
        <w:spacing w:line="480" w:lineRule="auto" w:before="0" w:after="0"/>
        <w:ind w:firstLine="720"/>
        <w:jc w:val="both"/>
      </w:pPr>
      <w:r>
        <w:rPr>
          <w:rFonts w:ascii="Times New Roman" w:hAnsi="Times New Roman" w:eastAsia="Times New Roman" w:cs="Times New Roman"/>
          <w:sz w:val="24"/>
          <w:lang w:val="es-ES"/>
        </w:rPr>
        <w:t>El estudio de Brenes et al. (2014) es mucho más serio, y precisamente por eso vale la pena mirarle las costuras. Encuestaron 66 agroempresas de ocho países, 33 con estrategia de diferenciación y 33 sin ella.</w:t>
      </w:r>
    </w:p>
    <w:p>
      <w:pPr>
        <w:spacing w:line="480" w:lineRule="auto" w:before="0" w:after="0"/>
        <w:ind w:firstLine="720"/>
        <w:jc w:val="both"/>
      </w:pPr>
      <w:r>
        <w:rPr>
          <w:rFonts w:ascii="Times New Roman" w:hAnsi="Times New Roman" w:eastAsia="Times New Roman" w:cs="Times New Roman"/>
          <w:sz w:val="24"/>
          <w:lang w:val="es-ES"/>
        </w:rPr>
        <w:t>Mi principal reparo es cómo clasificaron a las empresas. Ante la falta de datos formales, les preguntaron directamente a los ejecutivos, en escala Likert de 1 a 7, si cobraban precios consistentemente más altos que sus competidores; quienes respondieron 5, 6 o 7 quedaron catalogados como diferenciadores (Brenes et al., 2014). Es decir que la variable que divide toda la muestra es la autopercepción del gerente. Y después, con ese mismo cuestionario, se les preguntó por su innovación, su mercadeo y su conocimiento del cliente.</w:t>
      </w:r>
    </w:p>
    <w:p>
      <w:pPr>
        <w:spacing w:line="480" w:lineRule="auto" w:before="0" w:after="0"/>
        <w:ind w:firstLine="720"/>
        <w:jc w:val="both"/>
      </w:pPr>
      <w:r>
        <w:rPr>
          <w:rFonts w:ascii="Times New Roman" w:hAnsi="Times New Roman" w:eastAsia="Times New Roman" w:cs="Times New Roman"/>
          <w:sz w:val="24"/>
          <w:lang w:val="es-ES"/>
        </w:rPr>
        <w:t>El riesgo es evidente. Un gerente que se ve como premium probablemente se califique alto en todo lo demás. Parte de la diferencia encontrada podría no estar entre empresas, sino entre gerentes optimistas y gerentes modestos. Cuando leo que el 91% de las diferenciadoras conoce el perfil de su cliente final contra 72% de las otras (Brenes et al., 2014), no sé si mide conocimiento del cliente o confianza en uno mismo.</w:t>
      </w:r>
    </w:p>
    <w:p>
      <w:pPr>
        <w:spacing w:line="480" w:lineRule="auto" w:before="0" w:after="0"/>
        <w:ind w:firstLine="720"/>
        <w:jc w:val="both"/>
      </w:pPr>
      <w:r>
        <w:rPr>
          <w:rFonts w:ascii="Times New Roman" w:hAnsi="Times New Roman" w:eastAsia="Times New Roman" w:cs="Times New Roman"/>
          <w:sz w:val="24"/>
          <w:lang w:val="es-ES"/>
        </w:rPr>
        <w:t>Los propios autores son honestos y hay que reconocérselo. Aclaran que, por la naturaleza exploratoria de la investigación, el término significativo se usa para indicar y no para denotar significancia estadística, y admiten que su principal limitación es justamente ese carácter exploratorio, que hace falta más investigación para formular hipótesis y someterlas a prueba rigurosa (Brenes et al., 2014). Eso quiere decir que las brechas que reportan, 0,56 en capacidad de innovación y 0,55 en habilidades de mercadeo, son distancias descriptivas en una escala de opinión. No son efectos comprobados. Y aun así el artículo, en sus conclusiones, habla como si esas dimensiones explicaran la diferenciación.</w:t>
      </w:r>
    </w:p>
    <w:p>
      <w:pPr>
        <w:spacing w:line="480" w:lineRule="auto" w:before="0" w:after="0"/>
        <w:ind w:firstLine="720"/>
        <w:jc w:val="both"/>
      </w:pPr>
      <w:r>
        <w:rPr>
          <w:rFonts w:ascii="Times New Roman" w:hAnsi="Times New Roman" w:eastAsia="Times New Roman" w:cs="Times New Roman"/>
          <w:sz w:val="24"/>
          <w:lang w:val="es-ES"/>
        </w:rPr>
        <w:t>Hay algo más, y es casi circular. Si defines como diferenciadora a la empresa que cobra precios altos, y luego concluyes que las diferenciadoras necesitan cobrar precios altos para sostener su posicionamiento, en parte ya asumiste el resultado. Lo interesante del estudio no es esa conclusión, sino el retrato de qué hacen distinto esas empresas.</w:t>
      </w:r>
    </w:p>
    <w:p>
      <w:pPr>
        <w:keepNext/>
        <w:spacing w:line="480" w:lineRule="auto" w:before="0" w:after="0"/>
        <w:jc w:val="left"/>
      </w:pPr>
      <w:r>
        <w:rPr>
          <w:rFonts w:ascii="Times New Roman" w:hAnsi="Times New Roman" w:eastAsia="Times New Roman" w:cs="Times New Roman"/>
          <w:b/>
          <w:sz w:val="24"/>
          <w:lang w:val="es-ES"/>
        </w:rPr>
        <w:t>Donde los dos textos se contradicen</w:t>
      </w:r>
    </w:p>
    <w:p>
      <w:pPr>
        <w:spacing w:line="480" w:lineRule="auto" w:before="0" w:after="0"/>
        <w:ind w:firstLine="720"/>
        <w:jc w:val="both"/>
      </w:pPr>
      <w:r>
        <w:rPr>
          <w:rFonts w:ascii="Times New Roman" w:hAnsi="Times New Roman" w:eastAsia="Times New Roman" w:cs="Times New Roman"/>
          <w:sz w:val="24"/>
          <w:lang w:val="es-ES"/>
        </w:rPr>
        <w:t>Este es el punto que más me interesó y que no vi resuelto en ninguna de las lecturas.</w:t>
      </w:r>
    </w:p>
    <w:p>
      <w:pPr>
        <w:spacing w:line="480" w:lineRule="auto" w:before="0" w:after="0"/>
        <w:ind w:firstLine="720"/>
        <w:jc w:val="both"/>
      </w:pPr>
      <w:r>
        <w:rPr>
          <w:rFonts w:ascii="Times New Roman" w:hAnsi="Times New Roman" w:eastAsia="Times New Roman" w:cs="Times New Roman"/>
          <w:sz w:val="24"/>
          <w:lang w:val="es-ES"/>
        </w:rPr>
        <w:t>Gibson et al. (2011) celebran a Los Grobo porque su red de conocimiento y sus herramientas tecnológicas le permiten ser muy liviana en activos físicos e inversión agrícola. Coordinar en lugar de poseer. Brenes et al. (2014), en cambio, encuentran que las diferenciadoras están más integradas verticalmente que las demás, 67% contra 39%, y describen cómo Britt asumió su propia distribución y cómo Monteverde compró una distribuidora de refrigerados.</w:t>
      </w:r>
    </w:p>
    <w:p>
      <w:pPr>
        <w:spacing w:line="480" w:lineRule="auto" w:before="0" w:after="0"/>
        <w:ind w:firstLine="720"/>
        <w:jc w:val="both"/>
      </w:pPr>
      <w:r>
        <w:rPr>
          <w:rFonts w:ascii="Times New Roman" w:hAnsi="Times New Roman" w:eastAsia="Times New Roman" w:cs="Times New Roman"/>
          <w:sz w:val="24"/>
          <w:lang w:val="es-ES"/>
        </w:rPr>
        <w:t>Uno dice que la virtud está en no poseer. El otro muestra que las exitosas poseen más. No pueden ser las dos cosas a la vez.</w:t>
      </w:r>
    </w:p>
    <w:p>
      <w:pPr>
        <w:spacing w:line="480" w:lineRule="auto" w:before="0" w:after="0"/>
        <w:ind w:firstLine="720"/>
        <w:jc w:val="both"/>
      </w:pPr>
      <w:r>
        <w:rPr>
          <w:rFonts w:ascii="Times New Roman" w:hAnsi="Times New Roman" w:eastAsia="Times New Roman" w:cs="Times New Roman"/>
          <w:sz w:val="24"/>
          <w:lang w:val="es-ES"/>
        </w:rPr>
        <w:t>Mi explicación, que ofrezco con dudas, es que describen negocios distintos bajo la misma etiqueta. Los Grobo comercializa granos básicos, commodities donde es difícil diferenciarse por atributos y la ventaja está en costos y coordinación, más cerca del liderazgo en costos que de la diferenciación. Britt y Monteverde venden producto con marca al consumidor final, donde perder el canal es perder la promesa. Si es así, la palabra innovación en el primer artículo tapa dos estrategias opuestas, y llamar campeonas a las dos confunde más de lo que aclara.</w:t>
      </w:r>
    </w:p>
    <w:p>
      <w:pPr>
        <w:keepNext/>
        <w:spacing w:line="480" w:lineRule="auto" w:before="0" w:after="0"/>
        <w:jc w:val="left"/>
      </w:pPr>
      <w:r>
        <w:rPr>
          <w:rFonts w:ascii="Times New Roman" w:hAnsi="Times New Roman" w:eastAsia="Times New Roman" w:cs="Times New Roman"/>
          <w:b/>
          <w:sz w:val="24"/>
          <w:lang w:val="es-ES"/>
        </w:rPr>
        <w:t>Lo que el marco legal tampoco resuelve</w:t>
      </w:r>
    </w:p>
    <w:p>
      <w:pPr>
        <w:spacing w:line="480" w:lineRule="auto" w:before="0" w:after="0"/>
        <w:ind w:firstLine="720"/>
        <w:jc w:val="both"/>
      </w:pPr>
      <w:r>
        <w:rPr>
          <w:rFonts w:ascii="Times New Roman" w:hAnsi="Times New Roman" w:eastAsia="Times New Roman" w:cs="Times New Roman"/>
          <w:sz w:val="24"/>
          <w:lang w:val="es-ES"/>
        </w:rPr>
        <w:t>La presentación de la unidad me dio las herramientas para pensar la estructura, pero es un texto normativo: describe figuras, no compara resultados. Explica que la sociedad de responsabilidad limitada es personalista, con partes sociales y administración menos burocrática, y que la anónima sirve para negocios de mucho capital, con acciones que circulan libremente y gobierno en un consejo de administración o administrador único (Soto Díaz, 2025). Es útil, pero no dice cuál conviene en cada caso, porque no es su función.</w:t>
      </w:r>
    </w:p>
    <w:p>
      <w:pPr>
        <w:spacing w:line="480" w:lineRule="auto" w:before="0" w:after="0"/>
        <w:ind w:firstLine="720"/>
        <w:jc w:val="both"/>
      </w:pPr>
      <w:r>
        <w:rPr>
          <w:rFonts w:ascii="Times New Roman" w:hAnsi="Times New Roman" w:eastAsia="Times New Roman" w:cs="Times New Roman"/>
          <w:sz w:val="24"/>
          <w:lang w:val="es-ES"/>
        </w:rPr>
        <w:t>Hay una frase que me quedó dando vueltas: en la anónima, la vida de la sociedad es más importante que el bienestar de los socios (Soto Díaz, 2025). Se presenta como una ventaja, y lo es para la continuidad del negocio. Visto desde el productor pequeño que entra como socio minoritario, es una advertencia. También noté que la responsabilidad limitada se explica siempre como algo que protege al socio, y nunca como algo que traslada el riesgo a los acreedores, a los proveedores o a los trabajadores. Es limitada para alguien porque alguien más la absorbe.</w:t>
      </w:r>
    </w:p>
    <w:p>
      <w:pPr>
        <w:spacing w:line="480" w:lineRule="auto" w:before="0" w:after="0"/>
        <w:ind w:firstLine="720"/>
        <w:jc w:val="both"/>
      </w:pPr>
      <w:r>
        <w:rPr>
          <w:rFonts w:ascii="Times New Roman" w:hAnsi="Times New Roman" w:eastAsia="Times New Roman" w:cs="Times New Roman"/>
          <w:sz w:val="24"/>
          <w:lang w:val="es-ES"/>
        </w:rPr>
        <w:t>Y hay una desconexión que creo que nadie señala: Brenes et al. (2014) excluyeron de su muestra a las empresas que cotizan en bolsa y a las multinacionales. La sociedad anónima abierta, que la unidad presenta como modelo para negocios de gran magnitud, es justo lo que el estudio no observó. Sus conclusiones vienen de empresas familiares donde el emprendedor y su familia siguen pesando en la gestión. Aplicarlas a cualquier estructura sería un salto que los datos no permiten.</w:t>
      </w:r>
    </w:p>
    <w:p>
      <w:pPr>
        <w:keepNext/>
        <w:spacing w:line="480" w:lineRule="auto" w:before="0" w:after="0"/>
        <w:jc w:val="left"/>
      </w:pPr>
      <w:r>
        <w:rPr>
          <w:rFonts w:ascii="Times New Roman" w:hAnsi="Times New Roman" w:eastAsia="Times New Roman" w:cs="Times New Roman"/>
          <w:b/>
          <w:sz w:val="24"/>
          <w:lang w:val="es-ES"/>
        </w:rPr>
        <w:t>Lo que sigo sosteniendo, ya con matices</w:t>
      </w:r>
    </w:p>
    <w:p>
      <w:pPr>
        <w:spacing w:line="480" w:lineRule="auto" w:before="0" w:after="0"/>
        <w:ind w:firstLine="720"/>
        <w:jc w:val="both"/>
      </w:pPr>
      <w:r>
        <w:rPr>
          <w:rFonts w:ascii="Times New Roman" w:hAnsi="Times New Roman" w:eastAsia="Times New Roman" w:cs="Times New Roman"/>
          <w:sz w:val="24"/>
          <w:lang w:val="es-ES"/>
        </w:rPr>
        <w:t>Podría parecer que descarto las lecturas. No es así.</w:t>
      </w:r>
    </w:p>
    <w:p>
      <w:pPr>
        <w:spacing w:line="480" w:lineRule="auto" w:before="0" w:after="0"/>
        <w:ind w:firstLine="720"/>
        <w:jc w:val="both"/>
      </w:pPr>
      <w:r>
        <w:rPr>
          <w:rFonts w:ascii="Times New Roman" w:hAnsi="Times New Roman" w:eastAsia="Times New Roman" w:cs="Times New Roman"/>
          <w:sz w:val="24"/>
          <w:lang w:val="es-ES"/>
        </w:rPr>
        <w:t>Sigo pensando que organizarse es lo que permite vender valor y no solo materia prima. Pero por una razón distinta a la que dan los textos: no porque las campeonas tengan comités ni porque una escala Likert muestre brechas de 0,56, sino por dos hallazgos que resisten mejor las objeciones que les puse.</w:t>
      </w:r>
    </w:p>
    <w:p>
      <w:pPr>
        <w:spacing w:line="480" w:lineRule="auto" w:before="0" w:after="0"/>
        <w:ind w:firstLine="720"/>
        <w:jc w:val="both"/>
      </w:pPr>
      <w:r>
        <w:rPr>
          <w:rFonts w:ascii="Times New Roman" w:hAnsi="Times New Roman" w:eastAsia="Times New Roman" w:cs="Times New Roman"/>
          <w:sz w:val="24"/>
          <w:lang w:val="es-ES"/>
        </w:rPr>
        <w:t>El primero son los dos casos de mango: la empresa que eligió variedades pensando en cada mercado de destino le fue bien, y la que las eligió solo por condiciones agronómicas descubrió tarde que su fruta no gustaba donde quería venderla (Brenes et al., 2014). Es una anécdota, contada por el ganador, y aun así el mecanismo es claro y verificable. La decisión agronómica sin decisión comercial previa se paga años después, cuando ya no hay vuelta.</w:t>
      </w:r>
    </w:p>
    <w:p>
      <w:pPr>
        <w:spacing w:line="480" w:lineRule="auto" w:before="0" w:after="0"/>
        <w:ind w:firstLine="720"/>
        <w:jc w:val="both"/>
      </w:pPr>
      <w:r>
        <w:rPr>
          <w:rFonts w:ascii="Times New Roman" w:hAnsi="Times New Roman" w:eastAsia="Times New Roman" w:cs="Times New Roman"/>
          <w:sz w:val="24"/>
          <w:lang w:val="es-ES"/>
        </w:rPr>
        <w:t>El segundo es el 76% de diferenciadoras que usa el origen como herramienta de mercadeo (Brenes et al., 2014). Ahí veo algo que ninguno de los textos discute: el origen no es un activo que la empresa fabrica sola. Depende de la reputación del país, de la credibilidad sanitaria, de denominaciones que son bienes colectivos. La literatura de estrategia mira la empresa aislada y no ve que esta ventaja se construye entre varios. Para el agro latinoamericano eso es más relevante que copiar la estructura de Natura.</w:t>
      </w:r>
    </w:p>
    <w:p>
      <w:pPr>
        <w:keepNext/>
        <w:spacing w:line="480" w:lineRule="auto" w:before="0" w:after="0"/>
        <w:jc w:val="left"/>
      </w:pPr>
      <w:r>
        <w:rPr>
          <w:rFonts w:ascii="Times New Roman" w:hAnsi="Times New Roman" w:eastAsia="Times New Roman" w:cs="Times New Roman"/>
          <w:b/>
          <w:sz w:val="24"/>
          <w:lang w:val="es-ES"/>
        </w:rPr>
        <w:t>Conclusión</w:t>
      </w:r>
    </w:p>
    <w:p>
      <w:pPr>
        <w:spacing w:line="480" w:lineRule="auto" w:before="0" w:after="0"/>
        <w:ind w:firstLine="720"/>
        <w:jc w:val="both"/>
      </w:pPr>
      <w:r>
        <w:rPr>
          <w:rFonts w:ascii="Times New Roman" w:hAnsi="Times New Roman" w:eastAsia="Times New Roman" w:cs="Times New Roman"/>
          <w:sz w:val="24"/>
          <w:lang w:val="es-ES"/>
        </w:rPr>
        <w:t>Mi posición es que la organización empresarial sí decide si la agricultura vende valor o vende materia prima, pero que hay que sostenerla con evidencia más modesta que la que ofrecen las lecturas. Los tres textos coinciden demasiado, y parte de esa coincidencia se explica porque comparten autor y programa de investigación.</w:t>
      </w:r>
    </w:p>
    <w:p>
      <w:pPr>
        <w:spacing w:line="480" w:lineRule="auto" w:before="0" w:after="0"/>
        <w:ind w:firstLine="720"/>
        <w:jc w:val="both"/>
      </w:pPr>
      <w:r>
        <w:rPr>
          <w:rFonts w:ascii="Times New Roman" w:hAnsi="Times New Roman" w:eastAsia="Times New Roman" w:cs="Times New Roman"/>
          <w:sz w:val="24"/>
          <w:lang w:val="es-ES"/>
        </w:rPr>
        <w:t>Lo que aprendí no fue una receta. Fue que un texto celebratorio, que solo estudia ganadores, no puede establecer causalidad; que una encuesta de autopercepción mide en parte la confianza del gerente; y que dos artículos pueden recomendar cosas opuestas sobre integración vertical sin que nadie lo note, porque llaman igual a estrategias distintas.</w:t>
      </w:r>
    </w:p>
    <w:p>
      <w:pPr>
        <w:spacing w:line="480" w:lineRule="auto" w:before="0" w:after="0"/>
        <w:ind w:firstLine="720"/>
        <w:jc w:val="both"/>
      </w:pPr>
      <w:r>
        <w:rPr>
          <w:rFonts w:ascii="Times New Roman" w:hAnsi="Times New Roman" w:eastAsia="Times New Roman" w:cs="Times New Roman"/>
          <w:sz w:val="24"/>
          <w:lang w:val="es-ES"/>
        </w:rPr>
        <w:t>Si mañana tuviera que asesorar a una asociación de productores, no llegaría con el organigrama de Natura. Llegaría con tres preguntas incómodas: quién asume la pérdida si el experimento falla, si lo que vendemos permite realmente cobrar más o solo nos gustaría que lo permitiera, y si el valor está en el producto o en el canal, porque de eso depende si conviene integrarse o tercerizar. Ninguna de las tres lecturas responde eso por sí sola. Las tres juntas, leídas con desconfianza, sí ayudan a formularlas. Y sospecho que formular bien la pregunta vale más que copiar la respuesta de una empresa que jugaba con otro presupuesto.</w:t>
      </w:r>
    </w:p>
    <w:p>
      <w:r>
        <w:br w:type="page"/>
      </w:r>
    </w:p>
    <w:p>
      <w:pPr>
        <w:keepNext/>
        <w:spacing w:line="480" w:lineRule="auto" w:before="0" w:after="0"/>
        <w:jc w:val="center"/>
      </w:pPr>
      <w:r>
        <w:rPr>
          <w:rFonts w:ascii="Times New Roman" w:hAnsi="Times New Roman" w:eastAsia="Times New Roman" w:cs="Times New Roman"/>
          <w:b/>
          <w:sz w:val="24"/>
          <w:lang w:val="es-ES"/>
        </w:rPr>
        <w:t>Referencias</w:t>
      </w:r>
    </w:p>
    <w:p>
      <w:pPr>
        <w:spacing w:line="480" w:lineRule="auto" w:before="0" w:after="0"/>
        <w:ind w:left="720" w:hanging="720"/>
        <w:jc w:val="left"/>
      </w:pPr>
      <w:r>
        <w:rPr>
          <w:rFonts w:ascii="Times New Roman" w:hAnsi="Times New Roman" w:eastAsia="Times New Roman" w:cs="Times New Roman"/>
          <w:i w:val="0"/>
          <w:sz w:val="24"/>
          <w:lang w:val="es-ES"/>
        </w:rPr>
        <w:t xml:space="preserve">Brenes, E. R., Montoya, D., &amp; Ciravegna, L. (2014). Differentiation strategies in emerging markets: The case of Latin American agribusinesses. </w:t>
      </w:r>
      <w:r>
        <w:rPr>
          <w:rFonts w:ascii="Times New Roman" w:hAnsi="Times New Roman" w:eastAsia="Times New Roman" w:cs="Times New Roman"/>
          <w:i/>
          <w:sz w:val="24"/>
          <w:lang w:val="es-ES"/>
        </w:rPr>
        <w:t>Journal of Business Research, 67</w:t>
      </w:r>
      <w:r>
        <w:rPr>
          <w:rFonts w:ascii="Times New Roman" w:hAnsi="Times New Roman" w:eastAsia="Times New Roman" w:cs="Times New Roman"/>
          <w:i w:val="0"/>
          <w:sz w:val="24"/>
          <w:lang w:val="es-ES"/>
        </w:rPr>
        <w:t>, 847-855. https://doi.org/10.1016/j.jbusres.2013.07.003</w:t>
      </w:r>
    </w:p>
    <w:p>
      <w:pPr>
        <w:spacing w:line="480" w:lineRule="auto" w:before="0" w:after="0"/>
        <w:ind w:left="720" w:hanging="720"/>
        <w:jc w:val="left"/>
      </w:pPr>
      <w:r>
        <w:rPr>
          <w:rFonts w:ascii="Times New Roman" w:hAnsi="Times New Roman" w:eastAsia="Times New Roman" w:cs="Times New Roman"/>
          <w:i w:val="0"/>
          <w:sz w:val="24"/>
          <w:lang w:val="es-ES"/>
        </w:rPr>
        <w:t xml:space="preserve">Gibson, R., Brenes, E. R., &amp; Barahona, J. C. (2011). Campeones de la innovación en Latinoamérica. </w:t>
      </w:r>
      <w:r>
        <w:rPr>
          <w:rFonts w:ascii="Times New Roman" w:hAnsi="Times New Roman" w:eastAsia="Times New Roman" w:cs="Times New Roman"/>
          <w:i/>
          <w:sz w:val="24"/>
          <w:lang w:val="es-ES"/>
        </w:rPr>
        <w:t>INCAE Business Review, 2</w:t>
      </w:r>
      <w:r>
        <w:rPr>
          <w:rFonts w:ascii="Times New Roman" w:hAnsi="Times New Roman" w:eastAsia="Times New Roman" w:cs="Times New Roman"/>
          <w:i w:val="0"/>
          <w:sz w:val="24"/>
          <w:lang w:val="es-ES"/>
        </w:rPr>
        <w:t>(3), 2-6.</w:t>
      </w:r>
    </w:p>
    <w:p>
      <w:pPr>
        <w:spacing w:line="480" w:lineRule="auto" w:before="0" w:after="0"/>
        <w:ind w:left="720" w:hanging="720"/>
        <w:jc w:val="left"/>
      </w:pPr>
      <w:r>
        <w:rPr>
          <w:rFonts w:ascii="Times New Roman" w:hAnsi="Times New Roman" w:eastAsia="Times New Roman" w:cs="Times New Roman"/>
          <w:i w:val="0"/>
          <w:sz w:val="24"/>
          <w:lang w:val="es-ES"/>
        </w:rPr>
        <w:t xml:space="preserve">Soto Díaz, R. A. (2025). </w:t>
      </w:r>
      <w:r>
        <w:rPr>
          <w:rFonts w:ascii="Times New Roman" w:hAnsi="Times New Roman" w:eastAsia="Times New Roman" w:cs="Times New Roman"/>
          <w:i/>
          <w:sz w:val="24"/>
          <w:lang w:val="es-ES"/>
        </w:rPr>
        <w:t>Acuerdos comerciales: Unidad I</w:t>
      </w:r>
      <w:r>
        <w:rPr>
          <w:rFonts w:ascii="Times New Roman" w:hAnsi="Times New Roman" w:eastAsia="Times New Roman" w:cs="Times New Roman"/>
          <w:i w:val="0"/>
          <w:sz w:val="24"/>
          <w:lang w:val="es-ES"/>
        </w:rPr>
        <w:t xml:space="preserve"> [Presentación de PowerPoint]. Escuela Agrícola Panamericana, Zamorano.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sz w:val="24"/>
        <w:lang w:val="es-ES"/>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Tres textos que se dan demasiado la razón: una lectura crítica del agro latinoamericano</dc:title>
  <dc:subject/>
  <dc:creator>[Nombre del estudiante]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