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jc w:val="center"/>
      </w:pPr>
      <w:r>
        <w:rPr>
          <w:rFonts w:ascii="Times New Roman" w:cs="Times New Roman" w:eastAsia="Times New Roman" w:hAnsi="Times New Roman"/>
          <w:b/>
          <w:bCs/>
          <w:sz w:val="24"/>
          <w:szCs w:val="24"/>
        </w:rPr>
        <w:t xml:space="preserve">VI COLOQUIO DE INVESTIGACIÓN EDUCATIVA EN ARGENTINA</w:t>
      </w:r>
    </w:p>
    <w:p>
      <w:pPr>
        <w:spacing w:after="160" w:before="0" w:line="360" w:lineRule="auto"/>
        <w:jc w:val="center"/>
      </w:pPr>
      <w:r>
        <w:rPr>
          <w:rFonts w:ascii="Times New Roman" w:cs="Times New Roman" w:eastAsia="Times New Roman" w:hAnsi="Times New Roman"/>
          <w:b/>
          <w:bCs/>
          <w:sz w:val="24"/>
          <w:szCs w:val="24"/>
        </w:rPr>
        <w:t xml:space="preserve">Ateneo de Tesistas</w:t>
      </w:r>
    </w:p>
    <w:p>
      <w:pPr>
        <w:spacing w:after="160" w:before="0" w:line="360" w:lineRule="auto"/>
        <w:jc w:val="center"/>
      </w:pPr>
      <w:r>
        <w:rPr>
          <w:rFonts w:ascii="Times New Roman" w:cs="Times New Roman" w:eastAsia="Times New Roman" w:hAnsi="Times New Roman"/>
          <w:sz w:val="24"/>
          <w:szCs w:val="24"/>
        </w:rPr>
        <w:t xml:space="preserve">Resumen ampliado</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Área temática: </w:t>
      </w:r>
      <w:r>
        <w:rPr>
          <w:rFonts w:ascii="Times New Roman" w:cs="Times New Roman" w:eastAsia="Times New Roman" w:hAnsi="Times New Roman"/>
          <w:sz w:val="24"/>
          <w:szCs w:val="24"/>
        </w:rPr>
        <w:t xml:space="preserve">[completar según listado del Coloquio — se sugiere: Tecnologías digitales, educación y sociedad / Formación y trabajo docente]</w:t>
      </w:r>
    </w:p>
    <w:p>
      <w:pPr>
        <w:spacing w:after="80" w:before="0" w:line="360" w:lineRule="auto"/>
      </w:pPr>
      <w:r>
        <w:rPr>
          <w:rFonts w:ascii="Times New Roman" w:cs="Times New Roman" w:eastAsia="Times New Roman" w:hAnsi="Times New Roman"/>
          <w:b/>
          <w:bCs/>
          <w:sz w:val="24"/>
          <w:szCs w:val="24"/>
        </w:rPr>
        <w:t xml:space="preserve">Título del trabajo: </w:t>
      </w:r>
      <w:r>
        <w:rPr>
          <w:rFonts w:ascii="Times New Roman" w:cs="Times New Roman" w:eastAsia="Times New Roman" w:hAnsi="Times New Roman"/>
          <w:sz w:val="24"/>
          <w:szCs w:val="24"/>
        </w:rPr>
        <w:t xml:space="preserve">Representaciones docentes sobre la Inteligencia Artificial Generativa en la escuela primaria: estado del arte, decisiones metodológicas y marco teórico en construcción</w:t>
      </w:r>
    </w:p>
    <w:p>
      <w:pPr>
        <w:spacing w:after="80" w:before="0" w:line="360" w:lineRule="auto"/>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representaciones docentes; inteligencia artificial generativa; educación primaria; imaginarios sociotécnicos; diseño metodológico</w:t>
      </w:r>
    </w:p>
    <w:p>
      <w:pPr>
        <w:spacing w:after="80" w:before="0" w:line="360" w:lineRule="auto"/>
      </w:pPr>
      <w:r>
        <w:rPr>
          <w:rFonts w:ascii="Times New Roman" w:cs="Times New Roman" w:eastAsia="Times New Roman" w:hAnsi="Times New Roman"/>
          <w:b/>
          <w:bCs/>
          <w:sz w:val="24"/>
          <w:szCs w:val="24"/>
        </w:rPr>
        <w:t xml:space="preserve">Autora: </w:t>
      </w:r>
      <w:r>
        <w:rPr>
          <w:rFonts w:ascii="Times New Roman" w:cs="Times New Roman" w:eastAsia="Times New Roman" w:hAnsi="Times New Roman"/>
          <w:sz w:val="24"/>
          <w:szCs w:val="24"/>
        </w:rPr>
        <w:t xml:space="preserve">Ordiz, Marcela</w:t>
      </w:r>
    </w:p>
    <w:p>
      <w:pPr>
        <w:spacing w:after="80" w:before="0" w:line="360" w:lineRule="auto"/>
      </w:pPr>
      <w:r>
        <w:rPr>
          <w:rFonts w:ascii="Times New Roman" w:cs="Times New Roman" w:eastAsia="Times New Roman" w:hAnsi="Times New Roman"/>
          <w:b/>
          <w:bCs/>
          <w:sz w:val="24"/>
          <w:szCs w:val="24"/>
        </w:rPr>
        <w:t xml:space="preserve">Correo electrónico: </w:t>
      </w:r>
      <w:r>
        <w:rPr>
          <w:rFonts w:ascii="Times New Roman" w:cs="Times New Roman" w:eastAsia="Times New Roman" w:hAnsi="Times New Roman"/>
          <w:sz w:val="24"/>
          <w:szCs w:val="24"/>
        </w:rPr>
        <w:t xml:space="preserve">marcelaordiz@gmail.com</w:t>
      </w:r>
    </w:p>
    <w:p>
      <w:pPr>
        <w:spacing w:after="80" w:before="0" w:line="360" w:lineRule="auto"/>
      </w:pPr>
      <w:r>
        <w:rPr>
          <w:rFonts w:ascii="Times New Roman" w:cs="Times New Roman" w:eastAsia="Times New Roman" w:hAnsi="Times New Roman"/>
          <w:b/>
          <w:bCs/>
          <w:sz w:val="24"/>
          <w:szCs w:val="24"/>
        </w:rPr>
        <w:t xml:space="preserve">Posgrado: </w:t>
      </w:r>
      <w:r>
        <w:rPr>
          <w:rFonts w:ascii="Times New Roman" w:cs="Times New Roman" w:eastAsia="Times New Roman" w:hAnsi="Times New Roman"/>
          <w:sz w:val="24"/>
          <w:szCs w:val="24"/>
        </w:rPr>
        <w:t xml:space="preserve">Maestría en Educación, Lenguajes y Medios — UNSAM</w:t>
      </w:r>
    </w:p>
    <w:p>
      <w:pPr>
        <w:spacing w:after="240" w:before="0" w:line="360" w:lineRule="auto"/>
      </w:pPr>
      <w:r>
        <w:rPr>
          <w:rFonts w:ascii="Times New Roman" w:cs="Times New Roman" w:eastAsia="Times New Roman" w:hAnsi="Times New Roman"/>
          <w:b/>
          <w:bCs/>
          <w:sz w:val="24"/>
          <w:szCs w:val="24"/>
        </w:rPr>
        <w:t xml:space="preserve">Pertenencia institucional: </w:t>
      </w:r>
      <w:r>
        <w:rPr>
          <w:rFonts w:ascii="Times New Roman" w:cs="Times New Roman" w:eastAsia="Times New Roman" w:hAnsi="Times New Roman"/>
          <w:sz w:val="24"/>
          <w:szCs w:val="24"/>
        </w:rPr>
        <w:t xml:space="preserve">Universidad Nacional de San Martín (UNSAM) / FLACSO Argentina</w:t>
      </w:r>
    </w:p>
    <w:p>
      <w:pPr>
        <w:spacing w:after="120" w:before="240" w:line="360" w:lineRule="auto"/>
        <w:jc w:val="both"/>
      </w:pPr>
      <w:r>
        <w:rPr>
          <w:rFonts w:ascii="Times New Roman" w:cs="Times New Roman" w:eastAsia="Times New Roman" w:hAnsi="Times New Roman"/>
          <w:b/>
          <w:bCs/>
          <w:sz w:val="24"/>
          <w:szCs w:val="24"/>
        </w:rPr>
        <w:t xml:space="preserve">1. Planteo del problema</w:t>
      </w:r>
    </w:p>
    <w:p>
      <w:pPr>
        <w:spacing w:after="160" w:before="0" w:line="360" w:lineRule="auto"/>
        <w:jc w:val="both"/>
      </w:pPr>
      <w:r>
        <w:rPr>
          <w:rFonts w:ascii="Times New Roman" w:cs="Times New Roman" w:eastAsia="Times New Roman" w:hAnsi="Times New Roman"/>
          <w:sz w:val="24"/>
          <w:szCs w:val="24"/>
        </w:rPr>
        <w:t xml:space="preserve">La investigación que se presenta en este Ateneo se inscribe en el campo de los estudios sobre inteligencia artificial en educación y se propone explorar las representaciones que los docentes de escuelas primarias de la Ciudad Autónoma de Buenos Aires (CABA) construyen respecto al uso de la Inteligencia Artificial Generativa (IAG) en el diseño de propuestas didácticas orientadas al aprendizaje significativo. La pregunta que orienta el estudio es: ¿cuáles son las representaciones de los docentes de escuelas primarias de CABA respecto al potencial de la IAG para promover aprendizajes significativos en sus estudiantes a partir de propuestas didácticas elaboradas con algoritmos generativos?</w:t>
      </w:r>
    </w:p>
    <w:p>
      <w:pPr>
        <w:spacing w:after="160" w:before="0" w:line="360" w:lineRule="auto"/>
        <w:jc w:val="both"/>
      </w:pPr>
      <w:r>
        <w:rPr>
          <w:rFonts w:ascii="Times New Roman" w:cs="Times New Roman" w:eastAsia="Times New Roman" w:hAnsi="Times New Roman"/>
          <w:sz w:val="24"/>
          <w:szCs w:val="24"/>
        </w:rPr>
        <w:t xml:space="preserve">Esta pregunta se complementa con interrogantes específicos sobre la relación entre las competencias digitales docentes y sus representaciones sobre la IAG; sobre el modo en que los conocimientos previos acerca de la inteligencia artificial inciden en dichas representaciones; y sobre las preocupaciones que los docentes manifiestan respecto a la integración de estas herramientas en sus prácticas de enseñanza.</w:t>
      </w:r>
    </w:p>
    <w:p>
      <w:pPr>
        <w:spacing w:after="160" w:before="0" w:line="360" w:lineRule="auto"/>
        <w:jc w:val="both"/>
      </w:pPr>
      <w:r>
        <w:rPr>
          <w:rFonts w:ascii="Times New Roman" w:cs="Times New Roman" w:eastAsia="Times New Roman" w:hAnsi="Times New Roman"/>
          <w:sz w:val="24"/>
          <w:szCs w:val="24"/>
        </w:rPr>
        <w:t xml:space="preserve">La relevancia del problema radica en que, tal como evidencia la literatura especializada, las representaciones que los actores educativos construyen sobre las tecnologías operan como condicionantes de sus usos efectivos en el aula (Cabello, 2006). En este sentido, comprender cómo los docentes de nivel primario significan la IAG constituye un paso necesario antes de cualquier política de integración tecnológica que aspire a transformar genuinamente las prácticas pedagógicas.</w:t>
      </w:r>
    </w:p>
    <w:p>
      <w:pPr>
        <w:spacing w:after="160" w:before="0" w:line="360" w:lineRule="auto"/>
        <w:jc w:val="both"/>
      </w:pPr>
      <w:r>
        <w:rPr>
          <w:rFonts w:ascii="Times New Roman" w:cs="Times New Roman" w:eastAsia="Times New Roman" w:hAnsi="Times New Roman"/>
          <w:sz w:val="24"/>
          <w:szCs w:val="24"/>
        </w:rPr>
        <w:t xml:space="preserve">El trabajo que se comparte en esta instancia no presenta aún resultados del análisis empírico, dado que las entrevistas han sido realizadas pero se encuentran en proceso de sistematización. Lo que se expone, en cambio, es el recorrido que va desde los vacíos identificados en el estado del arte hasta las decisiones de diseño metodológico, junto con la trama conceptual que orienta el estudio y que se encuentra actualmente en proceso de ampliación. Este recorrido constituye en sí mismo un avance sustantivo de la investigación y habilita las principales líneas de discusión que se proponen al colectivo de tesistas.</w:t>
      </w:r>
    </w:p>
    <w:p>
      <w:pPr>
        <w:spacing w:after="120" w:before="240" w:line="360" w:lineRule="auto"/>
        <w:jc w:val="both"/>
      </w:pPr>
      <w:r>
        <w:rPr>
          <w:rFonts w:ascii="Times New Roman" w:cs="Times New Roman" w:eastAsia="Times New Roman" w:hAnsi="Times New Roman"/>
          <w:b/>
          <w:bCs/>
          <w:sz w:val="24"/>
          <w:szCs w:val="24"/>
        </w:rPr>
        <w:t xml:space="preserve">2. Métodos y técnicas</w:t>
      </w:r>
    </w:p>
    <w:p>
      <w:pPr>
        <w:spacing w:after="160" w:before="0" w:line="360" w:lineRule="auto"/>
        <w:jc w:val="both"/>
      </w:pPr>
      <w:r>
        <w:rPr>
          <w:rFonts w:ascii="Times New Roman" w:cs="Times New Roman" w:eastAsia="Times New Roman" w:hAnsi="Times New Roman"/>
          <w:sz w:val="24"/>
          <w:szCs w:val="24"/>
        </w:rPr>
        <w:t xml:space="preserve">La investigación adopta un enfoque cualitativo, en tanto se propone comprender en profundidad los significados que los docentes construyen en torno a la IAG en su contexto de práctica (Vasilachis de Gialdino, 2006; Creswell, 2013). Este enfoque resulta particularmente apropiado cuando el objeto de estudio involucra representaciones sociales, dado que estas se expresan y transmiten a través del discurso y requieren ser analizadas en su dimensión interpretativa.</w:t>
      </w:r>
    </w:p>
    <w:p>
      <w:pPr>
        <w:spacing w:after="160" w:before="0" w:line="360" w:lineRule="auto"/>
        <w:jc w:val="both"/>
      </w:pPr>
      <w:r>
        <w:rPr>
          <w:rFonts w:ascii="Times New Roman" w:cs="Times New Roman" w:eastAsia="Times New Roman" w:hAnsi="Times New Roman"/>
          <w:sz w:val="24"/>
          <w:szCs w:val="24"/>
        </w:rPr>
        <w:t xml:space="preserve">La técnica principal de producción de datos es la entrevista en profundidad semiestructurada. Se realizaron entrevistas a diez docentes de escuelas primarias de CABA, seleccionados mediante un muestreo intencional que buscó garantizar diversidad en tres dimensiones: el nivel de familiaridad con herramientas digitales, el área curricular de desempeño y el tipo de gestión institucional (pública y privada). Esta heterogeneidad en la conformación del corpus responde al propósito de capturar la variabilidad de representaciones que circulan en el campo docente, más que la representatividad estadística.</w:t>
      </w:r>
    </w:p>
    <w:p>
      <w:pPr>
        <w:spacing w:after="160" w:before="0" w:line="360" w:lineRule="auto"/>
        <w:jc w:val="both"/>
      </w:pPr>
      <w:r>
        <w:rPr>
          <w:rFonts w:ascii="Times New Roman" w:cs="Times New Roman" w:eastAsia="Times New Roman" w:hAnsi="Times New Roman"/>
          <w:sz w:val="24"/>
          <w:szCs w:val="24"/>
        </w:rPr>
        <w:t xml:space="preserve">El guión de entrevista fue construido a partir de cuatro ejes de análisis derivados del marco teórico: las representaciones sobre la IAG en educación; las preocupaciones y expectativas asociadas a su uso; las concepciones sobre el potencial pedagógico de estas herramientas; y los usos proyectados en el diseño de propuestas didácticas. Cada eje articula el marco conceptual con las dimensiones empíricas que se busca explorar (Cuevas, 2016).</w:t>
      </w:r>
    </w:p>
    <w:p>
      <w:pPr>
        <w:spacing w:after="160" w:before="0" w:line="360" w:lineRule="auto"/>
        <w:jc w:val="both"/>
      </w:pPr>
      <w:r>
        <w:rPr>
          <w:rFonts w:ascii="Times New Roman" w:cs="Times New Roman" w:eastAsia="Times New Roman" w:hAnsi="Times New Roman"/>
          <w:sz w:val="24"/>
          <w:szCs w:val="24"/>
        </w:rPr>
        <w:t xml:space="preserve">El análisis previsto seguirá un enfoque interpretativo con procedimientos de categorización propios de la teoría fundamentada, lo que permitirá identificar patrones emergentes en los testimonios y construir interpretaciones ancladas en los datos. Las categorías analíticas iniciales se derivan del marco teórico, pero el diseño admite que emerjan categorías inductivas durante el proceso de análisis, lo cual resulta coherente con la naturaleza exploratoria del estudio.</w:t>
      </w:r>
    </w:p>
    <w:p>
      <w:pPr>
        <w:spacing w:after="160" w:before="0" w:line="360" w:lineRule="auto"/>
        <w:jc w:val="both"/>
      </w:pPr>
      <w:r>
        <w:rPr>
          <w:rFonts w:ascii="Times New Roman" w:cs="Times New Roman" w:eastAsia="Times New Roman" w:hAnsi="Times New Roman"/>
          <w:sz w:val="24"/>
          <w:szCs w:val="24"/>
        </w:rPr>
        <w:t xml:space="preserve">En cuanto a la producción del estado del arte, se realizó una revisión sistemática de la literatura que combinó búsquedas en bases de datos académicas (Scopus, Web of Science, SciELO, Google Scholar) con herramientas de exploración asistida por IA (Research Rabbit, Elicit). Esta metodología híbrida permitió articular la rigurosidad de la búsqueda sistemática con la capacidad de identificar redes de citación y vacíos bibliográficos mediante análisis semántico.</w:t>
      </w:r>
    </w:p>
    <w:p>
      <w:pPr>
        <w:spacing w:after="120" w:before="240" w:line="360" w:lineRule="auto"/>
        <w:jc w:val="both"/>
      </w:pPr>
      <w:r>
        <w:rPr>
          <w:rFonts w:ascii="Times New Roman" w:cs="Times New Roman" w:eastAsia="Times New Roman" w:hAnsi="Times New Roman"/>
          <w:b/>
          <w:bCs/>
          <w:sz w:val="24"/>
          <w:szCs w:val="24"/>
        </w:rPr>
        <w:t xml:space="preserve">3. Desarrollo y avances</w:t>
      </w:r>
    </w:p>
    <w:p>
      <w:pPr>
        <w:spacing w:after="160" w:before="0" w:line="360" w:lineRule="auto"/>
        <w:jc w:val="both"/>
      </w:pPr>
      <w:r>
        <w:rPr>
          <w:rFonts w:ascii="Times New Roman" w:cs="Times New Roman" w:eastAsia="Times New Roman" w:hAnsi="Times New Roman"/>
          <w:sz w:val="24"/>
          <w:szCs w:val="24"/>
        </w:rPr>
        <w:t xml:space="preserve">El avance que se presenta en este Ateneo se organiza en dos planos estrechamente vinculados: los resultados de la revisión sistemática de la literatura y las decisiones de diseño que de ella se derivan, por un lado; y el marco teórico en proceso de construcción y ampliación, por el otro.</w:t>
      </w:r>
    </w:p>
    <w:p>
      <w:pPr>
        <w:spacing w:after="160" w:before="0" w:line="360" w:lineRule="auto"/>
        <w:jc w:val="both"/>
      </w:pPr>
      <w:r>
        <w:rPr>
          <w:rFonts w:ascii="Times New Roman" w:cs="Times New Roman" w:eastAsia="Times New Roman" w:hAnsi="Times New Roman"/>
          <w:b/>
          <w:bCs/>
          <w:i w:val="false"/>
          <w:iCs w:val="false"/>
          <w:sz w:val="24"/>
          <w:szCs w:val="24"/>
        </w:rPr>
        <w:t xml:space="preserve">3.1. El estado del arte: vacíos que orientan el diseño</w:t>
      </w:r>
    </w:p>
    <w:p>
      <w:pPr>
        <w:spacing w:after="160" w:before="0" w:line="360" w:lineRule="auto"/>
        <w:jc w:val="both"/>
      </w:pPr>
      <w:r>
        <w:rPr>
          <w:rFonts w:ascii="Times New Roman" w:cs="Times New Roman" w:eastAsia="Times New Roman" w:hAnsi="Times New Roman"/>
          <w:sz w:val="24"/>
          <w:szCs w:val="24"/>
        </w:rPr>
        <w:t xml:space="preserve">La revisión sistemática de la literatura revela un panorama investigativo caracterizado por una paradoja que resulta estructurante para el presente estudio: la coexistencia de un discurso tecnológico omnipresente que celebra las potencialidades transformadoras de la IAG en educación, con una producción científica empíricamente limitada que no logra sustentar esas narrativas (Zhai et al., 2021; Zafari et al., 2022).</w:t>
      </w:r>
    </w:p>
    <w:p>
      <w:pPr>
        <w:spacing w:after="160" w:before="0" w:line="360" w:lineRule="auto"/>
        <w:jc w:val="both"/>
      </w:pPr>
      <w:r>
        <w:rPr>
          <w:rFonts w:ascii="Times New Roman" w:cs="Times New Roman" w:eastAsia="Times New Roman" w:hAnsi="Times New Roman"/>
          <w:sz w:val="24"/>
          <w:szCs w:val="24"/>
        </w:rPr>
        <w:t xml:space="preserve">El análisis de los antecedentes permitió organizar la literatura existente en tres grandes grupos según sus enfoques teóricos y metodológicos. El primero reúne estudios que adoptan el Modelo de Aceptación Tecnológica (TAM) para analizar percepciones docentes sobre herramientas de IA. Investigaciones como las de Chounta et al. (2022) y Kaplan-Rakowski et al. (2023) evidencian correlaciones entre el nivel de familiaridad con la tecnología y las actitudes docentes, pero tienden a reducir la complejidad de la integración tecnológica a variables predominantemente instrumentales, descuidando las dimensiones pedagógicas, culturales y políticas que condicionan las representaciones docentes.</w:t>
      </w:r>
    </w:p>
    <w:p>
      <w:pPr>
        <w:spacing w:after="160" w:before="0" w:line="360" w:lineRule="auto"/>
        <w:jc w:val="both"/>
      </w:pPr>
      <w:r>
        <w:rPr>
          <w:rFonts w:ascii="Times New Roman" w:cs="Times New Roman" w:eastAsia="Times New Roman" w:hAnsi="Times New Roman"/>
          <w:sz w:val="24"/>
          <w:szCs w:val="24"/>
        </w:rPr>
        <w:t xml:space="preserve">El segundo grupo concentra estudios orientados a identificar preocupaciones éticas y resistencias docentes frente a la IAG. Investigaciones como las de Arce (2023) y Anders (2023) documentan que aproximadamente el 65% de los educadores considera el plagio académico como el principal problema asociado a estas herramientas, y que los docentes se sienten frecuentemente abrumados por la ausencia de marcos pedagógicos claros para integrar la IA de manera educativamente significativa. Estos estudios aportan elementos valiosos para comprender las barreras de implementación, aunque tienden a conceptualizar la IAG como amenaza antes que como oportunidad pedagógica.</w:t>
      </w:r>
    </w:p>
    <w:p>
      <w:pPr>
        <w:spacing w:after="160" w:before="0" w:line="360" w:lineRule="auto"/>
        <w:jc w:val="both"/>
      </w:pPr>
      <w:r>
        <w:rPr>
          <w:rFonts w:ascii="Times New Roman" w:cs="Times New Roman" w:eastAsia="Times New Roman" w:hAnsi="Times New Roman"/>
          <w:sz w:val="24"/>
          <w:szCs w:val="24"/>
        </w:rPr>
        <w:t xml:space="preserve">El tercer grupo, más reciente y conceptualmente promisorio, incorpora perspectivas críticas que trascienden el análisis individual para examinar los marcos discursivos más amplios que condicionan la construcción de representaciones sobre IA educativa. Investigaciones como las de Saura, Lima y Arguelho (2024) y Dussel y Williams (2023) analizan cómo los imaginarios sociotécnicos dominantes presentan la IA como solución técnica neutral y necesaria para la modernización educativa, sin considerar sus implicaciones pedagógicas, sociales y políticas.</w:t>
      </w:r>
    </w:p>
    <w:p>
      <w:pPr>
        <w:spacing w:after="160" w:before="0" w:line="360" w:lineRule="auto"/>
        <w:jc w:val="both"/>
      </w:pPr>
      <w:r>
        <w:rPr>
          <w:rFonts w:ascii="Times New Roman" w:cs="Times New Roman" w:eastAsia="Times New Roman" w:hAnsi="Times New Roman"/>
          <w:sz w:val="24"/>
          <w:szCs w:val="24"/>
        </w:rPr>
        <w:t xml:space="preserve">Desde el punto de vista geográfico, el análisis revela que la investigación sobre IA en educación se concentra predominantemente en contextos anglosajones y asiáticos. En el ámbito latinoamericano, comienzan a emerger estudios en educación superior (Tramallino et al., 2024; Ferrarelli y Corvalán, 2024) y en nivel secundario (Caldeiro et al., 2024), pero la educación primaria permanece como un territorio prácticamente inexplorado, especialmente en la CABA. El trabajo de Caldeiro, Odetti y Ordiz (2024) constituye, según el análisis sistemático realizado, el primer estudio empírico identificado sobre IAG en educación primaria porteña.</w:t>
      </w:r>
    </w:p>
    <w:p>
      <w:pPr>
        <w:spacing w:after="160" w:before="0" w:line="360" w:lineRule="auto"/>
        <w:jc w:val="both"/>
      </w:pPr>
      <w:r>
        <w:rPr>
          <w:rFonts w:ascii="Times New Roman" w:cs="Times New Roman" w:eastAsia="Times New Roman" w:hAnsi="Times New Roman"/>
          <w:sz w:val="24"/>
          <w:szCs w:val="24"/>
        </w:rPr>
        <w:t xml:space="preserve">Estos vacíos no son circunstanciales sino que tienen implicaciones concretas: las orientaciones ministeriales sobre integración de IA, como la Guía para la integración de las inteligencias artificiales en educación (Secretaría de Educación, 2025), se sustentan en escasos trabajos académicos nacionales y ninguno refiere específicamente al nivel primario. La encuesta realizada por Educ.ar con más de seis mil participantes confirmó que apenas el 24% de los docentes reporta contar con formación especializada en IA, lo que sugiere que las representaciones docentes se configuran más desde marcos defensivos y reactivos que desde apropiaciones pedagógicamente fundamentadas.</w:t>
      </w:r>
    </w:p>
    <w:p>
      <w:pPr>
        <w:spacing w:after="160" w:before="0" w:line="360" w:lineRule="auto"/>
        <w:jc w:val="both"/>
      </w:pPr>
      <w:r>
        <w:rPr>
          <w:rFonts w:ascii="Times New Roman" w:cs="Times New Roman" w:eastAsia="Times New Roman" w:hAnsi="Times New Roman"/>
          <w:sz w:val="24"/>
          <w:szCs w:val="24"/>
        </w:rPr>
        <w:t xml:space="preserve">Son precisamente estos vacíos los que justifican y orientan las decisiones de diseño adoptadas en la presente investigación: el foco en el nivel primario, el énfasis en el contexto porteño, la atención a las representaciones como objeto de estudio en lugar de los usos efectivos, y la articulación entre competencias digitales, conocimientos previos y preocupaciones pedagógicas como dimensiones analíticas del guión de entrevista.</w:t>
      </w:r>
    </w:p>
    <w:p>
      <w:pPr>
        <w:spacing w:after="160" w:before="0" w:line="360" w:lineRule="auto"/>
        <w:jc w:val="both"/>
      </w:pPr>
      <w:r>
        <w:rPr>
          <w:rFonts w:ascii="Times New Roman" w:cs="Times New Roman" w:eastAsia="Times New Roman" w:hAnsi="Times New Roman"/>
          <w:b/>
          <w:bCs/>
          <w:sz w:val="24"/>
          <w:szCs w:val="24"/>
        </w:rPr>
        <w:t xml:space="preserve">3.2. El marco teórico en construcción</w:t>
      </w:r>
    </w:p>
    <w:p>
      <w:pPr>
        <w:spacing w:after="160" w:before="0" w:line="360" w:lineRule="auto"/>
        <w:jc w:val="both"/>
      </w:pPr>
      <w:r>
        <w:rPr>
          <w:rFonts w:ascii="Times New Roman" w:cs="Times New Roman" w:eastAsia="Times New Roman" w:hAnsi="Times New Roman"/>
          <w:sz w:val="24"/>
          <w:szCs w:val="24"/>
        </w:rPr>
        <w:t xml:space="preserve">El marco teórico de la investigación articula cuatro núcleos conceptuales que se encuentran en proceso de revisión y ampliación a partir de los hallazgos del estado del arte.</w:t>
      </w:r>
    </w:p>
    <w:p>
      <w:pPr>
        <w:spacing w:after="160" w:before="0" w:line="360" w:lineRule="auto"/>
        <w:jc w:val="both"/>
      </w:pPr>
      <w:r>
        <w:rPr>
          <w:rFonts w:ascii="Times New Roman" w:cs="Times New Roman" w:eastAsia="Times New Roman" w:hAnsi="Times New Roman"/>
          <w:sz w:val="24"/>
          <w:szCs w:val="24"/>
        </w:rPr>
        <w:t xml:space="preserve">El primer núcleo remite a la teoría de las representaciones sociales de Moscovici (1986) y Jodelet (1991), que permiten comprender cómo los docentes aprehenden y significan la IAG a través de dos procesos básicos: la objetivación, mediante la cual un concepto abstracto se transforma en imagen concreta, y el anclaje, mediante el cual ese objeto se integra a marcos de referencia preexistentes. Desde esta perspectiva, las representaciones no son meras opiniones individuales sino construcciones socialmente elaboradas que generan prácticas y condicionan usos concretos (Van Dijk, citado en Cabello, 2006).</w:t>
      </w:r>
    </w:p>
    <w:p>
      <w:pPr>
        <w:spacing w:after="160" w:before="0" w:line="360" w:lineRule="auto"/>
        <w:jc w:val="both"/>
      </w:pPr>
      <w:r>
        <w:rPr>
          <w:rFonts w:ascii="Times New Roman" w:cs="Times New Roman" w:eastAsia="Times New Roman" w:hAnsi="Times New Roman"/>
          <w:sz w:val="24"/>
          <w:szCs w:val="24"/>
        </w:rPr>
        <w:t xml:space="preserve">El segundo núcleo recupera la teoría del aprendizaje significativo de Ausubel (1963), que permite operacionalizar la noción de calidad pedagógica en relación con los usos de IAG. La pregunta por si los docentes conciben que la IAG puede promover aprendizajes significativos, entendidos como aquellos en los que el nuevo conocimiento se integra sustantiva y no arbitrariamente con los saberes previos de los estudiantes, constituye una dimensión central del análisis empírico.</w:t>
      </w:r>
    </w:p>
    <w:p>
      <w:pPr>
        <w:spacing w:after="160" w:before="0" w:line="360" w:lineRule="auto"/>
        <w:jc w:val="both"/>
      </w:pPr>
      <w:r>
        <w:rPr>
          <w:rFonts w:ascii="Times New Roman" w:cs="Times New Roman" w:eastAsia="Times New Roman" w:hAnsi="Times New Roman"/>
          <w:sz w:val="24"/>
          <w:szCs w:val="24"/>
        </w:rPr>
        <w:t xml:space="preserve">El tercer núcleo refiere a la alfabetización digital docente, entendida desde los Nuevos Estudios de Alfabetización (Lankshear y Knobel, 2008) como práctica social situada que habilita una relación crítica y productiva con las tecnologías (Dussel, 2009). Esta perspectiva permite articular el nivel de desarrollo de competencias digitales de los docentes con las representaciones que construyen sobre la IAG, evitando reducir la relación a una causalidad directa entre dominio técnico y disposición favorable.</w:t>
      </w:r>
    </w:p>
    <w:p>
      <w:pPr>
        <w:spacing w:after="160" w:before="0" w:line="360" w:lineRule="auto"/>
        <w:jc w:val="both"/>
      </w:pPr>
      <w:r>
        <w:rPr>
          <w:rFonts w:ascii="Times New Roman" w:cs="Times New Roman" w:eastAsia="Times New Roman" w:hAnsi="Times New Roman"/>
          <w:sz w:val="24"/>
          <w:szCs w:val="24"/>
        </w:rPr>
        <w:t xml:space="preserve">El cuarto núcleo, incorporado a partir del estado del arte y actualmente en proceso de integración al marco teórico, recupera el concepto de imaginarios sociotécnicos desarrollado por Jasanoff y Kim (2015) y reinterpretado por Saura, Lima y Arguelho (2024) para el campo educativo. Este concepto permite comprender que las representaciones docentes no se construyen en el vacío, sino que están mediadas por discursos hegemónicos que circulan en los contextos institucionales, formativos y mediáticos. Incorporar esta perspectiva implica situar las representaciones individuales de los docentes en relación con los imaginarios globales, nacionales y mercantilistas que configuran el escenario en el que esas representaciones se producen. Esta ampliación del marco teórico plantea, al mismo tiempo, desafíos metodológicos que se incluyen entre las principales líneas de discusión.</w:t>
      </w:r>
    </w:p>
    <w:p>
      <w:pPr>
        <w:spacing w:after="120" w:before="240" w:line="360" w:lineRule="auto"/>
        <w:jc w:val="both"/>
      </w:pPr>
      <w:r>
        <w:rPr>
          <w:rFonts w:ascii="Times New Roman" w:cs="Times New Roman" w:eastAsia="Times New Roman" w:hAnsi="Times New Roman"/>
          <w:b/>
          <w:bCs/>
          <w:sz w:val="24"/>
          <w:szCs w:val="24"/>
        </w:rPr>
        <w:t xml:space="preserve">4. Discusión</w:t>
      </w:r>
    </w:p>
    <w:p>
      <w:pPr>
        <w:spacing w:after="160" w:before="0" w:line="360" w:lineRule="auto"/>
        <w:jc w:val="both"/>
      </w:pPr>
      <w:r>
        <w:rPr>
          <w:rFonts w:ascii="Times New Roman" w:cs="Times New Roman" w:eastAsia="Times New Roman" w:hAnsi="Times New Roman"/>
          <w:sz w:val="24"/>
          <w:szCs w:val="24"/>
        </w:rPr>
        <w:t xml:space="preserve">El recorrido presentado habilita al menos tres líneas de discusión que se proponen al colectivo de tesistas del Ateneo.</w:t>
      </w:r>
    </w:p>
    <w:p>
      <w:pPr>
        <w:spacing w:after="160" w:before="0" w:line="360" w:lineRule="auto"/>
        <w:jc w:val="both"/>
      </w:pPr>
      <w:r>
        <w:rPr>
          <w:rFonts w:ascii="Times New Roman" w:cs="Times New Roman" w:eastAsia="Times New Roman" w:hAnsi="Times New Roman"/>
          <w:sz w:val="24"/>
          <w:szCs w:val="24"/>
        </w:rPr>
        <w:t xml:space="preserve">La primera refiere a la tensión entre representaciones como objeto de estudio y condicionantes de las prácticas. La investigación adopta como punto de partida que las representaciones docentes sobre la IAG anteceden y condicionan sus usos pedagógicos. Sin embargo, la revisión del estado del arte sugiere que esas representaciones se configuran en un campo de disputas entre imaginarios sociotécnicos de distinto origen y potencia. Esto plantea el interrogante de si un estudio centrado en representaciones individuales puede capturar esa dimensión estructural sin incorporar otros niveles de análisis. La decisión de mantener el foco en las representaciones, apelando a las entrevistas como técnica principal, responde a una apuesta metodológica por la perspectiva de los actores, pero supone también asumir que las representaciones contienen, en forma condensada, huellas de los discursos sociales más amplios que las moldean.</w:t>
      </w:r>
    </w:p>
    <w:p>
      <w:pPr>
        <w:spacing w:after="160" w:before="0" w:line="360" w:lineRule="auto"/>
        <w:jc w:val="both"/>
      </w:pPr>
      <w:r>
        <w:rPr>
          <w:rFonts w:ascii="Times New Roman" w:cs="Times New Roman" w:eastAsia="Times New Roman" w:hAnsi="Times New Roman"/>
          <w:sz w:val="24"/>
          <w:szCs w:val="24"/>
        </w:rPr>
        <w:t xml:space="preserve">La segunda línea de discusión concierne a los desafíos de integrar los imaginarios sociotécnicos como categoría analítica en una investigación de enfoque cualitativo centrada en el nivel microsocial. La incorporación de este concepto al marco teórico enriquece la capacidad interpretativa del estudio, pero exige precisar de qué modo operará en el análisis: como telón de fondo que contextualiza las representaciones individuales, o como dimensión analítica que se rastrea en los propios testimonios docentes. Esta decisión tendrá consecuencias directas sobre el diseño del análisis cuando se procesen las entrevistas.</w:t>
      </w:r>
    </w:p>
    <w:p>
      <w:pPr>
        <w:spacing w:after="160" w:before="0" w:line="360" w:lineRule="auto"/>
        <w:jc w:val="both"/>
      </w:pPr>
      <w:r>
        <w:rPr>
          <w:rFonts w:ascii="Times New Roman" w:cs="Times New Roman" w:eastAsia="Times New Roman" w:hAnsi="Times New Roman"/>
          <w:sz w:val="24"/>
          <w:szCs w:val="24"/>
        </w:rPr>
        <w:t xml:space="preserve">La tercera línea de discusión remite a las implicancias éticas y políticas de investigar representaciones sobre una tecnología en plena expansión en un contexto de escasa formación docente. Como señala la encuesta de Educ.ar, la mayoría de los docentes argentinos carece de formación especializada en IA. Esto significa que las representaciones que se recogen en las entrevistas se han configurado, en gran medida, en ausencia de instancias formativas sistemáticas y en presencia de discursos mediáticos y ministeriales que no siempre ofrecen marcos pedagógicos sólidos. El análisis deberá ser sensible a esa condición de producción de las representaciones, evitando tanto la romantización de las percepciones docentes como la reducción de sus resistencias a mera ignorancia tecnológica.</w:t>
      </w:r>
    </w:p>
    <w:p>
      <w:pPr>
        <w:spacing w:after="160" w:before="0" w:line="360" w:lineRule="auto"/>
        <w:jc w:val="both"/>
      </w:pPr>
      <w:r>
        <w:rPr>
          <w:rFonts w:ascii="Times New Roman" w:cs="Times New Roman" w:eastAsia="Times New Roman" w:hAnsi="Times New Roman"/>
          <w:sz w:val="24"/>
          <w:szCs w:val="24"/>
        </w:rPr>
        <w:t xml:space="preserve">Estas líneas de discusión no tienen aún respuestas definitivas en el estado actual de la investigación, pero orientarán tanto el procesamiento de las entrevistas como las revisiones pendientes del marco teórico. En ese sentido, el Ateneo de Tesistas se presenta como un espacio privilegiado para someter estas decisiones al escrutinio colectivo y enriquecer el trabajo con las perspectivas de colegas que transitan procesos de investigación similares.</w:t>
      </w:r>
    </w:p>
    <w:p>
      <w:pPr>
        <w:spacing w:line="360"/>
      </w:pPr>
      <w:r>
        <w:rPr>
          <w:rFonts w:ascii="Times New Roman" w:cs="Times New Roman" w:eastAsia="Times New Roman" w:hAnsi="Times New Roman"/>
          <w:sz w:val="24"/>
          <w:szCs w:val="24"/>
        </w:rPr>
        <w:t xml:space="preserve"/>
      </w:r>
    </w:p>
    <w:p>
      <w:pPr>
        <w:spacing w:after="120" w:before="240" w:line="360" w:lineRule="auto"/>
        <w:jc w:val="both"/>
      </w:pPr>
      <w:r>
        <w:rPr>
          <w:rFonts w:ascii="Times New Roman" w:cs="Times New Roman" w:eastAsia="Times New Roman" w:hAnsi="Times New Roman"/>
          <w:b/>
          <w:bCs/>
          <w:sz w:val="24"/>
          <w:szCs w:val="24"/>
        </w:rPr>
        <w:t xml:space="preserve">Referencias bibliográficas</w:t>
      </w:r>
    </w:p>
    <w:p>
      <w:pPr>
        <w:spacing w:after="160" w:before="0" w:line="360" w:lineRule="auto"/>
        <w:jc w:val="both"/>
      </w:pPr>
      <w:r>
        <w:rPr>
          <w:rFonts w:ascii="Times New Roman" w:cs="Times New Roman" w:eastAsia="Times New Roman" w:hAnsi="Times New Roman"/>
          <w:sz w:val="24"/>
          <w:szCs w:val="24"/>
        </w:rPr>
        <w:t xml:space="preserve">Anders, B. A. (2023). Is using ChatGPT cheating, plagiarism, both, neither, or forward thinking? Patterns, 4(3). https://doi.org/10.1016/j.patter.2023.100694</w:t>
      </w:r>
    </w:p>
    <w:p>
      <w:pPr>
        <w:spacing w:after="160" w:before="0" w:line="360" w:lineRule="auto"/>
        <w:jc w:val="both"/>
      </w:pPr>
      <w:r>
        <w:rPr>
          <w:rFonts w:ascii="Times New Roman" w:cs="Times New Roman" w:eastAsia="Times New Roman" w:hAnsi="Times New Roman"/>
          <w:sz w:val="24"/>
          <w:szCs w:val="24"/>
        </w:rPr>
        <w:t xml:space="preserve">Arce, D. D. (2023). Inteligencia artificial vs. Turnitin: implicaciones para el plagio académico. Revista Cognosis, 8(1), 15-26. https://doi.org/10.33936/cognosis.v8i1.5517</w:t>
      </w:r>
    </w:p>
    <w:p>
      <w:pPr>
        <w:spacing w:after="160" w:before="0" w:line="360" w:lineRule="auto"/>
        <w:jc w:val="both"/>
      </w:pPr>
      <w:r>
        <w:rPr>
          <w:rFonts w:ascii="Times New Roman" w:cs="Times New Roman" w:eastAsia="Times New Roman" w:hAnsi="Times New Roman"/>
          <w:sz w:val="24"/>
          <w:szCs w:val="24"/>
        </w:rPr>
        <w:t xml:space="preserve">Ausubel, D. P. (1963). The psychology of meaningful verbal learning. Grune and Stratton.</w:t>
      </w:r>
    </w:p>
    <w:p>
      <w:pPr>
        <w:spacing w:after="160" w:before="0" w:line="360" w:lineRule="auto"/>
        <w:jc w:val="both"/>
      </w:pPr>
      <w:r>
        <w:rPr>
          <w:rFonts w:ascii="Times New Roman" w:cs="Times New Roman" w:eastAsia="Times New Roman" w:hAnsi="Times New Roman"/>
          <w:sz w:val="24"/>
          <w:szCs w:val="24"/>
        </w:rPr>
        <w:t xml:space="preserve">Cabello, R. (Coord.). (2006). Yo con la computadora no tengo nada que ver: un estudio de las relaciones entre los maestros y las tecnologías informáticas en la enseñanza. Prometeo Libros.</w:t>
      </w:r>
    </w:p>
    <w:p>
      <w:pPr>
        <w:spacing w:after="160" w:before="0" w:line="360" w:lineRule="auto"/>
        <w:jc w:val="both"/>
      </w:pPr>
      <w:r>
        <w:rPr>
          <w:rFonts w:ascii="Times New Roman" w:cs="Times New Roman" w:eastAsia="Times New Roman" w:hAnsi="Times New Roman"/>
          <w:sz w:val="24"/>
          <w:szCs w:val="24"/>
        </w:rPr>
        <w:t xml:space="preserve">Caldeiro, G. P., Odetti, V., y Ordiz, M. (2024, julio). Educación e inteligencia artificial generativa: experimentación con usos didácticos en el nivel primario. En Actas del 1.er Congreso Internacional en Inteligencia Artificial y Educación (CIIAE) (pp. 1-10). Tandil, Buenos Aires, Argentina.</w:t>
      </w:r>
    </w:p>
    <w:p>
      <w:pPr>
        <w:spacing w:after="160" w:before="0" w:line="360" w:lineRule="auto"/>
        <w:jc w:val="both"/>
      </w:pPr>
      <w:r>
        <w:rPr>
          <w:rFonts w:ascii="Times New Roman" w:cs="Times New Roman" w:eastAsia="Times New Roman" w:hAnsi="Times New Roman"/>
          <w:sz w:val="24"/>
          <w:szCs w:val="24"/>
        </w:rPr>
        <w:t xml:space="preserve">Chounta, I.-A., Bardone, E., Raudsep, A., y Pedaste, M. (2022). Exploring Teachers' Perceptions of Artificial Intelligence as a Tool to Support their Practice in Estonian K-12 Education. International Journal of Artificial Intelligence in Education, 32(3), 725-755. https://doi.org/10.1007/s40593-021-00243-5</w:t>
      </w:r>
    </w:p>
    <w:p>
      <w:pPr>
        <w:spacing w:after="160" w:before="0" w:line="360" w:lineRule="auto"/>
        <w:jc w:val="both"/>
      </w:pPr>
      <w:r>
        <w:rPr>
          <w:rFonts w:ascii="Times New Roman" w:cs="Times New Roman" w:eastAsia="Times New Roman" w:hAnsi="Times New Roman"/>
          <w:sz w:val="24"/>
          <w:szCs w:val="24"/>
        </w:rPr>
        <w:t xml:space="preserve">Creswell, J. W. (2013). Qualitative Inquiry and Research Design: Choosing Among Five Approaches (3rd ed.). SAGE Publications.</w:t>
      </w:r>
    </w:p>
    <w:p>
      <w:pPr>
        <w:spacing w:after="160" w:before="0" w:line="360" w:lineRule="auto"/>
        <w:jc w:val="both"/>
      </w:pPr>
      <w:r>
        <w:rPr>
          <w:rFonts w:ascii="Times New Roman" w:cs="Times New Roman" w:eastAsia="Times New Roman" w:hAnsi="Times New Roman"/>
          <w:sz w:val="24"/>
          <w:szCs w:val="24"/>
        </w:rPr>
        <w:t xml:space="preserve">Cuevas, Y. (2016). Recomendaciones para el estudio de representaciones sociales en investigación educativa. Cultura y representaciones sociales, 11(21), 109-140.</w:t>
      </w:r>
    </w:p>
    <w:p>
      <w:pPr>
        <w:spacing w:after="160" w:before="0" w:line="360" w:lineRule="auto"/>
        <w:jc w:val="both"/>
      </w:pPr>
      <w:r>
        <w:rPr>
          <w:rFonts w:ascii="Times New Roman" w:cs="Times New Roman" w:eastAsia="Times New Roman" w:hAnsi="Times New Roman"/>
          <w:sz w:val="24"/>
          <w:szCs w:val="24"/>
        </w:rPr>
        <w:t xml:space="preserve">Dussel, I. (2009). Los nuevos alfabetismos en el siglo XXI. Desafíos para la escuela [Conferencia]. Virtualeduca 2009.</w:t>
      </w:r>
    </w:p>
    <w:p>
      <w:pPr>
        <w:spacing w:after="160" w:before="0" w:line="360" w:lineRule="auto"/>
        <w:jc w:val="both"/>
      </w:pPr>
      <w:r>
        <w:rPr>
          <w:rFonts w:ascii="Times New Roman" w:cs="Times New Roman" w:eastAsia="Times New Roman" w:hAnsi="Times New Roman"/>
          <w:sz w:val="24"/>
          <w:szCs w:val="24"/>
        </w:rPr>
        <w:t xml:space="preserve">Dussel, I., y Williams, F. (2023). Los imaginarios sociotécnicos de la política educativa digital en México (2012-2022). Profesorado, 27(1), 39-60.</w:t>
      </w:r>
    </w:p>
    <w:p>
      <w:pPr>
        <w:spacing w:after="160" w:before="0" w:line="360" w:lineRule="auto"/>
        <w:jc w:val="both"/>
      </w:pPr>
      <w:r>
        <w:rPr>
          <w:rFonts w:ascii="Times New Roman" w:cs="Times New Roman" w:eastAsia="Times New Roman" w:hAnsi="Times New Roman"/>
          <w:sz w:val="24"/>
          <w:szCs w:val="24"/>
        </w:rPr>
        <w:t xml:space="preserve">Ferrarelli, M., y Corvalán, N. (2024). Gemelos generativos: un relato de experiencia con la IA como pareja pedagógica alternativa. Revista Isalud.</w:t>
      </w:r>
    </w:p>
    <w:p>
      <w:pPr>
        <w:spacing w:after="160" w:before="0" w:line="360" w:lineRule="auto"/>
        <w:jc w:val="both"/>
      </w:pPr>
      <w:r>
        <w:rPr>
          <w:rFonts w:ascii="Times New Roman" w:cs="Times New Roman" w:eastAsia="Times New Roman" w:hAnsi="Times New Roman"/>
          <w:sz w:val="24"/>
          <w:szCs w:val="24"/>
        </w:rPr>
        <w:t xml:space="preserve">Jasanoff, S., y Kim, S. H. (2015). Dreamscapes of Modernity: Sociotechnical imaginaries and the fabrication of power. University of Chicago Press.</w:t>
      </w:r>
    </w:p>
    <w:p>
      <w:pPr>
        <w:spacing w:after="160" w:before="0" w:line="360" w:lineRule="auto"/>
        <w:jc w:val="both"/>
      </w:pPr>
      <w:r>
        <w:rPr>
          <w:rFonts w:ascii="Times New Roman" w:cs="Times New Roman" w:eastAsia="Times New Roman" w:hAnsi="Times New Roman"/>
          <w:sz w:val="24"/>
          <w:szCs w:val="24"/>
        </w:rPr>
        <w:t xml:space="preserve">Jodelet, D. (1991). Representaciones sociales: un área en expansión. En D. Páez y A. Blanco (Eds.), La teoría sociocultural y la psicología social actual. Fundación Infancia y Aprendizaje.</w:t>
      </w:r>
    </w:p>
    <w:p>
      <w:pPr>
        <w:spacing w:after="160" w:before="0" w:line="360" w:lineRule="auto"/>
        <w:jc w:val="both"/>
      </w:pPr>
      <w:r>
        <w:rPr>
          <w:rFonts w:ascii="Times New Roman" w:cs="Times New Roman" w:eastAsia="Times New Roman" w:hAnsi="Times New Roman"/>
          <w:sz w:val="24"/>
          <w:szCs w:val="24"/>
        </w:rPr>
        <w:t xml:space="preserve">Kaplan-Rakowski, R., Hartwick, P., Browning, T. N., y Brantner, C. (2023). Teachers' perceptions and attitudes toward generative AI chatbots in education. Educational Technology Research and Development.</w:t>
      </w:r>
    </w:p>
    <w:p>
      <w:pPr>
        <w:spacing w:after="160" w:before="0" w:line="360" w:lineRule="auto"/>
        <w:jc w:val="both"/>
      </w:pPr>
      <w:r>
        <w:rPr>
          <w:rFonts w:ascii="Times New Roman" w:cs="Times New Roman" w:eastAsia="Times New Roman" w:hAnsi="Times New Roman"/>
          <w:sz w:val="24"/>
          <w:szCs w:val="24"/>
        </w:rPr>
        <w:t xml:space="preserve">Lankshear, C., y Knobel, M. (2008). Nuevos alfabetismos: Su práctica cotidiana y el aprendizaje en el aula (2.a ed.). MEPSYD y Morata.</w:t>
      </w:r>
    </w:p>
    <w:p>
      <w:pPr>
        <w:spacing w:after="160" w:before="0" w:line="360" w:lineRule="auto"/>
        <w:jc w:val="both"/>
      </w:pPr>
      <w:r>
        <w:rPr>
          <w:rFonts w:ascii="Times New Roman" w:cs="Times New Roman" w:eastAsia="Times New Roman" w:hAnsi="Times New Roman"/>
          <w:sz w:val="24"/>
          <w:szCs w:val="24"/>
        </w:rPr>
        <w:t xml:space="preserve">Moscovici, S. (1986). Psicología social. Paidós.</w:t>
      </w:r>
    </w:p>
    <w:p>
      <w:pPr>
        <w:spacing w:after="160" w:before="0" w:line="360" w:lineRule="auto"/>
        <w:jc w:val="both"/>
      </w:pPr>
      <w:r>
        <w:rPr>
          <w:rFonts w:ascii="Times New Roman" w:cs="Times New Roman" w:eastAsia="Times New Roman" w:hAnsi="Times New Roman"/>
          <w:sz w:val="24"/>
          <w:szCs w:val="24"/>
        </w:rPr>
        <w:t xml:space="preserve">Saura, G., Lima, P., y Arguelho, M. (2024). Imaginarios sociotécnicos en educación: inteligencia artificial y transformación digital. Journal of Supranational Policies of Education, 20, 11-30.</w:t>
      </w:r>
    </w:p>
    <w:p>
      <w:pPr>
        <w:spacing w:after="160" w:before="0" w:line="360" w:lineRule="auto"/>
        <w:jc w:val="both"/>
      </w:pPr>
      <w:r>
        <w:rPr>
          <w:rFonts w:ascii="Times New Roman" w:cs="Times New Roman" w:eastAsia="Times New Roman" w:hAnsi="Times New Roman"/>
          <w:sz w:val="24"/>
          <w:szCs w:val="24"/>
        </w:rPr>
        <w:t xml:space="preserve">Secretaría de Educación de Argentina. (2025). Guía para la integración de las inteligencias artificiales en educación. Ministerio de Capital Humano.</w:t>
      </w:r>
    </w:p>
    <w:p>
      <w:pPr>
        <w:spacing w:after="160" w:before="0" w:line="360" w:lineRule="auto"/>
        <w:jc w:val="both"/>
      </w:pPr>
      <w:r>
        <w:rPr>
          <w:rFonts w:ascii="Times New Roman" w:cs="Times New Roman" w:eastAsia="Times New Roman" w:hAnsi="Times New Roman"/>
          <w:sz w:val="24"/>
          <w:szCs w:val="24"/>
        </w:rPr>
        <w:t xml:space="preserve">Tramallino, C., Pairetti, C., y Rodríguez, G. L. (2024). Reflexiones en torno al uso de IA en educación superior: Dos casos comparados. TEyET, (37), e9. https://doi.org/10.24215/18509959.37.e9</w:t>
      </w:r>
    </w:p>
    <w:p>
      <w:pPr>
        <w:spacing w:after="160" w:before="0" w:line="360" w:lineRule="auto"/>
        <w:jc w:val="both"/>
      </w:pPr>
      <w:r>
        <w:rPr>
          <w:rFonts w:ascii="Times New Roman" w:cs="Times New Roman" w:eastAsia="Times New Roman" w:hAnsi="Times New Roman"/>
          <w:sz w:val="24"/>
          <w:szCs w:val="24"/>
        </w:rPr>
        <w:t xml:space="preserve">Vasilachis de Gialdino, I. (Coord.). (2006). Estrategias de investigación cualitativa. Gedisa.</w:t>
      </w:r>
    </w:p>
    <w:p>
      <w:pPr>
        <w:spacing w:after="160" w:before="0" w:line="360" w:lineRule="auto"/>
        <w:jc w:val="both"/>
      </w:pPr>
      <w:r>
        <w:rPr>
          <w:rFonts w:ascii="Times New Roman" w:cs="Times New Roman" w:eastAsia="Times New Roman" w:hAnsi="Times New Roman"/>
          <w:sz w:val="24"/>
          <w:szCs w:val="24"/>
        </w:rPr>
        <w:t xml:space="preserve">Zafari, M., Bazargani, J. S., Sadeghi-Niaraki, A., y Choi, S. M. (2022). Artificial intelligence applications in K-12 education: A systematic literature review. IEEE Access, 10, 61905-61921.</w:t>
      </w:r>
    </w:p>
    <w:p>
      <w:pPr>
        <w:spacing w:after="160" w:before="0" w:line="360" w:lineRule="auto"/>
        <w:jc w:val="both"/>
      </w:pPr>
      <w:r>
        <w:rPr>
          <w:rFonts w:ascii="Times New Roman" w:cs="Times New Roman" w:eastAsia="Times New Roman" w:hAnsi="Times New Roman"/>
          <w:sz w:val="24"/>
          <w:szCs w:val="24"/>
        </w:rPr>
        <w:t xml:space="preserve">Zhai, X., Chu, X., Chai, C., Jong, M., Istenic, A., Spector, J., Liu, J.-B., Yuan, J., y Li, Y. (2021). A Review of Artificial Intelligence (AI) in Education from 2010 to 2020. Complexity, 2021, 1-18. https://doi.org/10.1155/2021/8812542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2026-05-26T15:41:16.123Z</dcterms:created>
  <dcterms:modified xsi:type="dcterms:W3CDTF">2026-05-26T15:41:16.123Z</dcterms:modified>
</cp:coreProperties>
</file>

<file path=docProps/custom.xml><?xml version="1.0" encoding="utf-8"?>
<Properties xmlns="http://schemas.openxmlformats.org/officeDocument/2006/custom-properties" xmlns:vt="http://schemas.openxmlformats.org/officeDocument/2006/docPropsVTypes"/>
</file>