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val="false"/>
          <w:bCs w:val="false"/>
          <w:i w:val="false"/>
          <w:iCs w:val="false"/>
        </w:rPr>
        <w:t xml:space="preserve">Matriz de patrones — insumo para el Capítulo 4</w:t>
      </w:r>
    </w:p>
    <w:p>
      <w:pPr>
        <w:spacing w:after="160"/>
      </w:pPr>
      <w:r>
        <w:rPr>
          <w:b/>
          <w:bCs/>
          <w:i w:val="false"/>
          <w:iCs w:val="false"/>
        </w:rPr>
        <w:t xml:space="preserve">Qué es esto:</w:t>
      </w:r>
      <w:r>
        <w:rPr>
          <w:b w:val="false"/>
          <w:bCs w:val="false"/>
          <w:i w:val="false"/>
          <w:iCs w:val="false"/>
        </w:rPr>
        <w:t xml:space="preserve"> no es el Capítulo 4 escrito — es el insumo organizado para escribirlo con velocidad cuando llegue ese momento (Fase 4 del cronograma). Por cada una de las 6 subsecciones del esquema (</w:t>
      </w:r>
      <w:r>
        <w:rPr>
          <w:rFonts w:ascii="Courier New" w:cs="Courier New" w:eastAsia="Courier New" w:hAnsi="Courier New"/>
          <w:b w:val="false"/>
          <w:bCs w:val="false"/>
          <w:i w:val="false"/>
          <w:iCs w:val="false"/>
        </w:rPr>
        <w:t xml:space="preserve">quality_reports/plans/2026-07-29_esquema-tesis-completa.md</w:t>
      </w:r>
      <w:r>
        <w:rPr>
          <w:b w:val="false"/>
          <w:bCs w:val="false"/>
          <w:i w:val="false"/>
          <w:iCs w:val="false"/>
        </w:rPr>
        <w:t xml:space="preserve">), reúne: qué códigos alimentan esa subsección, la frecuencia final sobre el corpus completo (15/15), el patrón/lectura que emerge, las mejores citas ya localizadas (con timestamp y participante), y los casos negativos/desviantes que hay que nombrar explícitamente para no aplanar el análisis.</w:t>
      </w:r>
    </w:p>
    <w:p>
      <w:pPr>
        <w:spacing w:after="160"/>
      </w:pPr>
      <w:r>
        <w:rPr>
          <w:b/>
          <w:bCs/>
          <w:i w:val="false"/>
          <w:iCs w:val="false"/>
        </w:rPr>
        <w:t xml:space="preserve">Fuente de los datos:</w:t>
      </w:r>
      <w:r>
        <w:rPr>
          <w:b w:val="false"/>
          <w:bCs w:val="false"/>
          <w:i w:val="false"/>
          <w:iCs w:val="false"/>
        </w:rPr>
        <w:t xml:space="preserve"> síntesis final en </w:t>
      </w:r>
      <w:r>
        <w:rPr>
          <w:rFonts w:ascii="Courier New" w:cs="Courier New" w:eastAsia="Courier New" w:hAnsi="Courier New"/>
          <w:b w:val="false"/>
          <w:bCs w:val="false"/>
          <w:i w:val="false"/>
          <w:iCs w:val="false"/>
        </w:rPr>
        <w:t xml:space="preserve">codificacion_P1_P14_cierre_corpus.md</w:t>
      </w:r>
      <w:r>
        <w:rPr>
          <w:b w:val="false"/>
          <w:bCs w:val="false"/>
          <w:i w:val="false"/>
          <w:iCs w:val="false"/>
        </w:rPr>
        <w:t xml:space="preserve"> §3 (frecuencias) + hoja "Segmentos codificados" del Excel (citas) + los reportes individuales de codificación. Toda cifra de frecuencia está condicionada al denominador real cuando corresponde (Cap. 3, §3.4/§6.1) — se nota explícitamente cuando el denominador no es 15.</w:t>
      </w:r>
    </w:p>
    <w:p>
      <w:pPr>
        <w:spacing w:after="160"/>
      </w:pPr>
      <w:r>
        <w:rPr>
          <w:b/>
          <w:bCs/>
          <w:i w:val="false"/>
          <w:iCs w:val="false"/>
        </w:rPr>
        <w:t xml:space="preserve">Cómo usar esto en la redacción:</w:t>
      </w:r>
      <w:r>
        <w:rPr>
          <w:b w:val="false"/>
          <w:bCs w:val="false"/>
          <w:i w:val="false"/>
          <w:iCs w:val="false"/>
        </w:rPr>
        <w:t xml:space="preserve"> cada subsección de abajo ya trae 3-5 citas candidatas por código relevante — no hace falta releer las 15 entrevistas para escribir el capítulo, alcanza con volver a la transcripción puntual si se quiere ampliar el contexto de una cita específica.</w:t>
      </w:r>
    </w:p>
    <w:p>
      <w:pPr>
        <w:pBdr>
          <w:bottom w:val="single" w:color="auto" w:sz="6" w:space="1"/>
        </w:pBdr>
        <w:spacing w:after="200"/>
      </w:pPr>
    </w:p>
    <w:p>
      <w:pPr>
        <w:pStyle w:val="Heading2"/>
        <w:spacing w:after="120" w:before="240"/>
      </w:pPr>
      <w:r>
        <w:rPr>
          <w:b w:val="false"/>
          <w:bCs w:val="false"/>
          <w:i w:val="false"/>
          <w:iCs w:val="false"/>
        </w:rPr>
        <w:t xml:space="preserve">4.1 — Representaciones sobre la IAG en educación (objetivación/anclaje)</w:t>
      </w:r>
    </w:p>
    <w:p>
      <w:pPr>
        <w:spacing w:after="160"/>
      </w:pPr>
      <w:r>
        <w:rPr>
          <w:b/>
          <w:bCs/>
          <w:i w:val="false"/>
          <w:iCs w:val="false"/>
        </w:rPr>
        <w:t xml:space="preserve">Núcleo que alimenta:</w:t>
      </w:r>
      <w:r>
        <w:rPr>
          <w:b w:val="false"/>
          <w:bCs w:val="false"/>
          <w:i w:val="false"/>
          <w:iCs w:val="false"/>
        </w:rPr>
        <w:t xml:space="preserve"> Núcleo 1 (SRT clásica, Moscovici/Jodelet).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2C5" w:val="clear"/>
          </w:tcPr>
          <w:p>
            <w:r>
              <w:rPr>
                <w:b w:val="false"/>
                <w:bCs w:val="false"/>
                <w:i w:val="false"/>
                <w:iCs w:val="false"/>
              </w:rPr>
              <w:t xml:space="preserve">Código</w:t>
            </w:r>
          </w:p>
        </w:tc>
        <w:tc>
          <w:tcPr>
            <w:tcW w:type="dxa" w:w="3000"/>
            <w:shd w:fill="D9D2C5" w:val="clear"/>
          </w:tcPr>
          <w:p>
            <w:r>
              <w:rPr>
                <w:b w:val="false"/>
                <w:bCs w:val="false"/>
                <w:i w:val="false"/>
                <w:iCs w:val="false"/>
              </w:rPr>
              <w:t xml:space="preserve">Frecuencia (n/15)</w:t>
            </w:r>
          </w:p>
        </w:tc>
        <w:tc>
          <w:tcPr>
            <w:tcW w:type="dxa" w:w="3000"/>
            <w:shd w:fill="D9D2C5" w:val="clear"/>
          </w:tcPr>
          <w:p>
            <w:r>
              <w:rPr>
                <w:b w:val="false"/>
                <w:bCs w:val="false"/>
                <w:i w:val="false"/>
                <w:iCs w:val="false"/>
              </w:rPr>
              <w:t xml:space="preserve">Lectura</w:t>
            </w:r>
          </w:p>
        </w:tc>
      </w:tr>
      <w:tr>
        <w:tc>
          <w:tcPr>
            <w:tcW w:type="dxa" w:w="3000"/>
          </w:tcPr>
          <w:p>
            <w:r>
              <w:rPr>
                <w:rFonts w:ascii="Courier New" w:cs="Courier New" w:eastAsia="Courier New" w:hAnsi="Courier New"/>
                <w:b w:val="false"/>
                <w:bCs w:val="false"/>
                <w:i w:val="false"/>
                <w:iCs w:val="false"/>
              </w:rPr>
              <w:t xml:space="preserve">objetivacion_imagen_concreta</w:t>
            </w:r>
          </w:p>
        </w:tc>
        <w:tc>
          <w:tcPr>
            <w:tcW w:type="dxa" w:w="3000"/>
          </w:tcPr>
          <w:p>
            <w:r>
              <w:rPr>
                <w:b w:val="false"/>
                <w:bCs w:val="false"/>
                <w:i w:val="false"/>
                <w:iCs w:val="false"/>
              </w:rPr>
              <w:t xml:space="preserve">8/15 (P3,P4,P5,P6,P8,P10,P13,P14)</w:t>
            </w:r>
          </w:p>
        </w:tc>
        <w:tc>
          <w:tcPr>
            <w:tcW w:type="dxa" w:w="3000"/>
          </w:tcPr>
          <w:p>
            <w:r>
              <w:rPr>
                <w:b w:val="false"/>
                <w:bCs w:val="false"/>
                <w:i w:val="false"/>
                <w:iCs w:val="false"/>
              </w:rPr>
              <w:t xml:space="preserve">Mayoritario cuando se pregunta directamente (Bloque 3, P1) — dos registros claramente distintos: </w:t>
            </w:r>
            <w:r>
              <w:rPr>
                <w:b/>
                <w:bCs/>
                <w:i w:val="false"/>
                <w:iCs w:val="false"/>
              </w:rPr>
              <w:t xml:space="preserve">metáfora/imagen</w:t>
            </w:r>
            <w:r>
              <w:rPr>
                <w:b w:val="false"/>
                <w:bCs w:val="false"/>
                <w:i w:val="false"/>
                <w:iCs w:val="false"/>
              </w:rPr>
              <w:t xml:space="preserve"> (mayoría) vs. </w:t>
            </w:r>
            <w:r>
              <w:rPr>
                <w:b/>
                <w:bCs/>
                <w:i w:val="false"/>
                <w:iCs w:val="false"/>
              </w:rPr>
              <w:t xml:space="preserve">definición técnico-funcional</w:t>
            </w:r>
            <w:r>
              <w:rPr>
                <w:b w:val="false"/>
                <w:bCs w:val="false"/>
                <w:i w:val="false"/>
                <w:iCs w:val="false"/>
              </w:rPr>
              <w:t xml:space="preserve"> (P13, P14 — las dos únicas que describen arquitectura/funcionamiento en vez de imagen)</w:t>
            </w:r>
          </w:p>
        </w:tc>
      </w:tr>
      <w:tr>
        <w:tc>
          <w:tcPr>
            <w:tcW w:type="dxa" w:w="3000"/>
          </w:tcPr>
          <w:p>
            <w:r>
              <w:rPr>
                <w:rFonts w:ascii="Courier New" w:cs="Courier New" w:eastAsia="Courier New" w:hAnsi="Courier New"/>
                <w:b w:val="false"/>
                <w:bCs w:val="false"/>
                <w:i w:val="false"/>
                <w:iCs w:val="false"/>
              </w:rPr>
              <w:t xml:space="preserve">anclaje_tecnologia_previa</w:t>
            </w:r>
          </w:p>
        </w:tc>
        <w:tc>
          <w:tcPr>
            <w:tcW w:type="dxa" w:w="3000"/>
          </w:tcPr>
          <w:p>
            <w:r>
              <w:rPr>
                <w:b w:val="false"/>
                <w:bCs w:val="false"/>
                <w:i w:val="false"/>
                <w:iCs w:val="false"/>
              </w:rPr>
              <w:t xml:space="preserve">Débil en todo el corpus — instancia limpia solo en P2; ecos débiles en P3,P4,P8,P9; instancia indirecta/doméstica en P15</w:t>
            </w:r>
          </w:p>
        </w:tc>
        <w:tc>
          <w:tcPr>
            <w:tcW w:type="dxa" w:w="3000"/>
          </w:tcPr>
          <w:p>
            <w:r>
              <w:rPr>
                <w:b/>
                <w:bCs/>
                <w:i w:val="false"/>
                <w:iCs w:val="false"/>
              </w:rPr>
              <w:t xml:space="preserve">Código subdesarrollado, confirmado con el corpus completo</w:t>
            </w:r>
            <w:r>
              <w:rPr>
                <w:b w:val="false"/>
                <w:bCs w:val="false"/>
                <w:i w:val="false"/>
                <w:iCs w:val="false"/>
              </w:rPr>
              <w:t xml:space="preserve"> — reportar como hallazgo de ausencia relativa, no forzar</w:t>
            </w:r>
          </w:p>
        </w:tc>
      </w:tr>
      <w:tr>
        <w:tc>
          <w:tcPr>
            <w:tcW w:type="dxa" w:w="3000"/>
          </w:tcPr>
          <w:p>
            <w:r>
              <w:rPr>
                <w:rFonts w:ascii="Courier New" w:cs="Courier New" w:eastAsia="Courier New" w:hAnsi="Courier New"/>
                <w:b w:val="false"/>
                <w:bCs w:val="false"/>
                <w:i w:val="false"/>
                <w:iCs w:val="false"/>
              </w:rPr>
              <w:t xml:space="preserve">anclaje_figura_humana</w:t>
            </w:r>
          </w:p>
        </w:tc>
        <w:tc>
          <w:tcPr>
            <w:tcW w:type="dxa" w:w="3000"/>
          </w:tcPr>
          <w:p>
            <w:r>
              <w:rPr>
                <w:b w:val="false"/>
                <w:bCs w:val="false"/>
                <w:i w:val="false"/>
                <w:iCs w:val="false"/>
              </w:rPr>
              <w:t xml:space="preserve">4/15 (P4,P5,P10,P15)</w:t>
            </w:r>
          </w:p>
        </w:tc>
        <w:tc>
          <w:tcPr>
            <w:tcW w:type="dxa" w:w="3000"/>
          </w:tcPr>
          <w:p>
            <w:r>
              <w:rPr>
                <w:b w:val="false"/>
                <w:bCs w:val="false"/>
                <w:i w:val="false"/>
                <w:iCs w:val="false"/>
              </w:rPr>
              <w:t xml:space="preserve">Patrón consistente: la IA siempre se ancla como </w:t>
            </w:r>
            <w:r>
              <w:rPr>
                <w:b/>
                <w:bCs/>
                <w:i w:val="false"/>
                <w:iCs w:val="false"/>
              </w:rPr>
              <w:t xml:space="preserve">asistente/apoyo subordinado</w:t>
            </w:r>
            <w:r>
              <w:rPr>
                <w:b w:val="false"/>
                <w:bCs w:val="false"/>
                <w:i w:val="false"/>
                <w:iCs w:val="false"/>
              </w:rPr>
              <w:t xml:space="preserve">, nunca como par ni autoridad — dato con lectura propia para la Discusión</w:t>
            </w:r>
          </w:p>
        </w:tc>
      </w:tr>
    </w:tbl>
    <w:p>
      <w:pPr>
        <w:spacing w:after="200"/>
      </w:pPr>
    </w:p>
    <w:p>
      <w:pPr>
        <w:spacing w:after="160"/>
      </w:pPr>
      <w:r>
        <w:rPr>
          <w:b/>
          <w:bCs/>
          <w:i w:val="false"/>
          <w:iCs w:val="false"/>
        </w:rPr>
        <w:t xml:space="preserve">Ancla privilegiada (Bloque 3, P1) — tabla comparativa lista para el Cap.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2C5" w:val="clear"/>
          </w:tcPr>
          <w:p>
            <w:r>
              <w:rPr>
                <w:b w:val="false"/>
                <w:bCs w:val="false"/>
                <w:i w:val="false"/>
                <w:iCs w:val="false"/>
              </w:rPr>
              <w:t xml:space="preserve">Participante</w:t>
            </w:r>
          </w:p>
        </w:tc>
        <w:tc>
          <w:tcPr>
            <w:tcW w:type="dxa" w:w="3000"/>
            <w:shd w:fill="D9D2C5" w:val="clear"/>
          </w:tcPr>
          <w:p>
            <w:r>
              <w:rPr>
                <w:b w:val="false"/>
                <w:bCs w:val="false"/>
                <w:i w:val="false"/>
                <w:iCs w:val="false"/>
              </w:rPr>
              <w:t xml:space="preserve">Primera imagen/definición espontánea</w:t>
            </w:r>
          </w:p>
        </w:tc>
        <w:tc>
          <w:tcPr>
            <w:tcW w:type="dxa" w:w="3000"/>
            <w:shd w:fill="D9D2C5" w:val="clear"/>
          </w:tcPr>
          <w:p>
            <w:r>
              <w:rPr>
                <w:b w:val="false"/>
                <w:bCs w:val="false"/>
                <w:i w:val="false"/>
                <w:iCs w:val="false"/>
              </w:rPr>
              <w:t xml:space="preserve">Registro</w:t>
            </w:r>
          </w:p>
        </w:tc>
      </w:tr>
      <w:tr>
        <w:tc>
          <w:tcPr>
            <w:tcW w:type="dxa" w:w="3000"/>
          </w:tcPr>
          <w:p>
            <w:r>
              <w:rPr>
                <w:b w:val="false"/>
                <w:bCs w:val="false"/>
                <w:i w:val="false"/>
                <w:iCs w:val="false"/>
              </w:rPr>
              <w:t xml:space="preserve">P5</w:t>
            </w:r>
          </w:p>
        </w:tc>
        <w:tc>
          <w:tcPr>
            <w:tcW w:type="dxa" w:w="3000"/>
          </w:tcPr>
          <w:p>
            <w:r>
              <w:rPr>
                <w:b w:val="false"/>
                <w:bCs w:val="false"/>
                <w:i w:val="false"/>
                <w:iCs w:val="false"/>
              </w:rPr>
              <w:t xml:space="preserve">"Es como un monstruo. Esto ya vino para quedarse... y me fascina" [04:30]</w:t>
            </w:r>
          </w:p>
        </w:tc>
        <w:tc>
          <w:tcPr>
            <w:tcW w:type="dxa" w:w="3000"/>
          </w:tcPr>
          <w:p>
            <w:r>
              <w:rPr>
                <w:b w:val="false"/>
                <w:bCs w:val="false"/>
                <w:i w:val="false"/>
                <w:iCs w:val="false"/>
              </w:rPr>
              <w:t xml:space="preserve">Metáfora afectiva, ambivalente</w:t>
            </w:r>
          </w:p>
        </w:tc>
      </w:tr>
      <w:tr>
        <w:tc>
          <w:tcPr>
            <w:tcW w:type="dxa" w:w="3000"/>
          </w:tcPr>
          <w:p>
            <w:r>
              <w:rPr>
                <w:b w:val="false"/>
                <w:bCs w:val="false"/>
                <w:i w:val="false"/>
                <w:iCs w:val="false"/>
              </w:rPr>
              <w:t xml:space="preserve">P8</w:t>
            </w:r>
          </w:p>
        </w:tc>
        <w:tc>
          <w:tcPr>
            <w:tcW w:type="dxa" w:w="3000"/>
          </w:tcPr>
          <w:p>
            <w:r>
              <w:rPr>
                <w:b w:val="false"/>
                <w:bCs w:val="false"/>
                <w:i w:val="false"/>
                <w:iCs w:val="false"/>
              </w:rPr>
              <w:t xml:space="preserve">"Está computado... una forma de decir una computadora, pero no es una computadora... te facilita la vida" [10:52]</w:t>
            </w:r>
          </w:p>
        </w:tc>
        <w:tc>
          <w:tcPr>
            <w:tcW w:type="dxa" w:w="3000"/>
          </w:tcPr>
          <w:p>
            <w:r>
              <w:rPr>
                <w:b w:val="false"/>
                <w:bCs w:val="false"/>
                <w:i w:val="false"/>
                <w:iCs w:val="false"/>
              </w:rPr>
              <w:t xml:space="preserve">Metáfora técnica coloquial</w:t>
            </w:r>
          </w:p>
        </w:tc>
      </w:tr>
      <w:tr>
        <w:tc>
          <w:tcPr>
            <w:tcW w:type="dxa" w:w="3000"/>
          </w:tcPr>
          <w:p>
            <w:r>
              <w:rPr>
                <w:b w:val="false"/>
                <w:bCs w:val="false"/>
                <w:i w:val="false"/>
                <w:iCs w:val="false"/>
              </w:rPr>
              <w:t xml:space="preserve">P13</w:t>
            </w:r>
          </w:p>
        </w:tc>
        <w:tc>
          <w:tcPr>
            <w:tcW w:type="dxa" w:w="3000"/>
          </w:tcPr>
          <w:p>
            <w:r>
              <w:rPr>
                <w:b w:val="false"/>
                <w:bCs w:val="false"/>
                <w:i w:val="false"/>
                <w:iCs w:val="false"/>
              </w:rPr>
              <w:t xml:space="preserve">"Tecnología que aprende a partir de patrones... calcula qué palabras/imágenes/sonidos son más probables... por eso se equivoca, inventa datos, reproduce sesgos" [10:26]</w:t>
            </w:r>
          </w:p>
        </w:tc>
        <w:tc>
          <w:tcPr>
            <w:tcW w:type="dxa" w:w="3000"/>
          </w:tcPr>
          <w:p>
            <w:r>
              <w:rPr>
                <w:b w:val="false"/>
                <w:bCs w:val="false"/>
                <w:i w:val="false"/>
                <w:iCs w:val="false"/>
              </w:rPr>
              <w:t xml:space="preserve">Definición técnica sofisticada — instancia más avanzada del corpus</w:t>
            </w:r>
          </w:p>
        </w:tc>
      </w:tr>
      <w:tr>
        <w:tc>
          <w:tcPr>
            <w:tcW w:type="dxa" w:w="3000"/>
          </w:tcPr>
          <w:p>
            <w:r>
              <w:rPr>
                <w:b w:val="false"/>
                <w:bCs w:val="false"/>
                <w:i w:val="false"/>
                <w:iCs w:val="false"/>
              </w:rPr>
              <w:t xml:space="preserve">P14</w:t>
            </w:r>
          </w:p>
        </w:tc>
        <w:tc>
          <w:tcPr>
            <w:tcW w:type="dxa" w:w="3000"/>
          </w:tcPr>
          <w:p>
            <w:r>
              <w:rPr>
                <w:b w:val="false"/>
                <w:bCs w:val="false"/>
                <w:i w:val="false"/>
                <w:iCs w:val="false"/>
              </w:rPr>
              <w:t xml:space="preserve">"Es una plataforma que genera texto y a la vez comprende texto... genera recursos a partir de una solicitud" [04:18]</w:t>
            </w:r>
          </w:p>
        </w:tc>
        <w:tc>
          <w:tcPr>
            <w:tcW w:type="dxa" w:w="3000"/>
          </w:tcPr>
          <w:p>
            <w:r>
              <w:rPr>
                <w:b w:val="false"/>
                <w:bCs w:val="false"/>
                <w:i w:val="false"/>
                <w:iCs w:val="false"/>
              </w:rPr>
              <w:t xml:space="preserve">Definición técnico-funcional, mismo registro que P13</w:t>
            </w:r>
          </w:p>
        </w:tc>
      </w:tr>
      <w:tr>
        <w:tc>
          <w:tcPr>
            <w:tcW w:type="dxa" w:w="3000"/>
          </w:tcPr>
          <w:p>
            <w:r>
              <w:rPr>
                <w:b w:val="false"/>
                <w:bCs w:val="false"/>
                <w:i w:val="false"/>
                <w:iCs w:val="false"/>
              </w:rPr>
              <w:t xml:space="preserve">P15</w:t>
            </w:r>
          </w:p>
        </w:tc>
        <w:tc>
          <w:tcPr>
            <w:tcW w:type="dxa" w:w="3000"/>
          </w:tcPr>
          <w:p>
            <w:r>
              <w:rPr>
                <w:b w:val="false"/>
                <w:bCs w:val="false"/>
                <w:i w:val="false"/>
                <w:iCs w:val="false"/>
              </w:rPr>
              <w:t xml:space="preserve">"Es un asistente... de trabajo para uno o para los chicos" [06:32]</w:t>
            </w:r>
          </w:p>
        </w:tc>
        <w:tc>
          <w:tcPr>
            <w:tcW w:type="dxa" w:w="3000"/>
          </w:tcPr>
          <w:p>
            <w:r>
              <w:rPr>
                <w:b w:val="false"/>
                <w:bCs w:val="false"/>
                <w:i w:val="false"/>
                <w:iCs w:val="false"/>
              </w:rPr>
              <w:t xml:space="preserve">Funcional/pragmático (pregunta reformulada a "explicale a un colega")</w:t>
            </w:r>
          </w:p>
        </w:tc>
      </w:tr>
      <w:tr>
        <w:tc>
          <w:tcPr>
            <w:tcW w:type="dxa" w:w="3000"/>
          </w:tcPr>
          <w:p>
            <w:r>
              <w:rPr>
                <w:b w:val="false"/>
                <w:bCs w:val="false"/>
                <w:i w:val="false"/>
                <w:iCs w:val="false"/>
              </w:rPr>
              <w:t xml:space="preserve">P4</w:t>
            </w:r>
          </w:p>
        </w:tc>
        <w:tc>
          <w:tcPr>
            <w:tcW w:type="dxa" w:w="3000"/>
          </w:tcPr>
          <w:p>
            <w:r>
              <w:rPr>
                <w:b w:val="false"/>
                <w:bCs w:val="false"/>
                <w:i w:val="false"/>
                <w:iCs w:val="false"/>
              </w:rPr>
              <w:t xml:space="preserve">"Es un lenguaje... responde en relación a la información con la cual fue cargada" [08:18]</w:t>
            </w:r>
          </w:p>
        </w:tc>
        <w:tc>
          <w:tcPr>
            <w:tcW w:type="dxa" w:w="3000"/>
          </w:tcPr>
          <w:p>
            <w:r>
              <w:rPr>
                <w:b w:val="false"/>
                <w:bCs w:val="false"/>
                <w:i w:val="false"/>
                <w:iCs w:val="false"/>
              </w:rPr>
              <w:t xml:space="preserve">Técnica intermedia</w:t>
            </w:r>
          </w:p>
        </w:tc>
      </w:tr>
      <w:tr>
        <w:tc>
          <w:tcPr>
            <w:tcW w:type="dxa" w:w="3000"/>
          </w:tcPr>
          <w:p>
            <w:r>
              <w:rPr>
                <w:b w:val="false"/>
                <w:bCs w:val="false"/>
                <w:i w:val="false"/>
                <w:iCs w:val="false"/>
              </w:rPr>
              <w:t xml:space="preserve">P6</w:t>
            </w:r>
          </w:p>
        </w:tc>
        <w:tc>
          <w:tcPr>
            <w:tcW w:type="dxa" w:w="3000"/>
          </w:tcPr>
          <w:p>
            <w:r>
              <w:rPr>
                <w:b w:val="false"/>
                <w:bCs w:val="false"/>
                <w:i w:val="false"/>
                <w:iCs w:val="false"/>
              </w:rPr>
              <w:t xml:space="preserve">"Es una aplicación... está educada digitalmente... para darte una respuesta" [10:32]</w:t>
            </w:r>
          </w:p>
        </w:tc>
        <w:tc>
          <w:tcPr>
            <w:tcW w:type="dxa" w:w="3000"/>
          </w:tcPr>
          <w:p>
            <w:r>
              <w:rPr>
                <w:b w:val="false"/>
                <w:bCs w:val="false"/>
                <w:i w:val="false"/>
                <w:iCs w:val="false"/>
              </w:rPr>
              <w:t xml:space="preserve">Metáfora educativa (la IA como "educada")</w:t>
            </w:r>
          </w:p>
        </w:tc>
      </w:tr>
      <w:tr>
        <w:tc>
          <w:tcPr>
            <w:tcW w:type="dxa" w:w="3000"/>
          </w:tcPr>
          <w:p>
            <w:r>
              <w:rPr>
                <w:b w:val="false"/>
                <w:bCs w:val="false"/>
                <w:i w:val="false"/>
                <w:iCs w:val="false"/>
              </w:rPr>
              <w:t xml:space="preserve">P3</w:t>
            </w:r>
          </w:p>
        </w:tc>
        <w:tc>
          <w:tcPr>
            <w:tcW w:type="dxa" w:w="3000"/>
          </w:tcPr>
          <w:p>
            <w:r>
              <w:rPr>
                <w:b w:val="false"/>
                <w:bCs w:val="false"/>
                <w:i w:val="false"/>
                <w:iCs w:val="false"/>
              </w:rPr>
              <w:t xml:space="preserve">"Es un recurso accesible... te organiza esa idea" [06:54]</w:t>
            </w:r>
          </w:p>
        </w:tc>
        <w:tc>
          <w:tcPr>
            <w:tcW w:type="dxa" w:w="3000"/>
          </w:tcPr>
          <w:p>
            <w:r>
              <w:rPr>
                <w:b w:val="false"/>
                <w:bCs w:val="false"/>
                <w:i w:val="false"/>
                <w:iCs w:val="false"/>
              </w:rPr>
              <w:t xml:space="preserve">Funcional simple</w:t>
            </w:r>
          </w:p>
        </w:tc>
      </w:tr>
    </w:tbl>
    <w:p>
      <w:pPr>
        <w:spacing w:after="200"/>
      </w:pPr>
    </w:p>
    <w:p>
      <w:pPr>
        <w:spacing w:after="160"/>
      </w:pPr>
      <w:r>
        <w:rPr>
          <w:b/>
          <w:bCs/>
          <w:i w:val="false"/>
          <w:iCs w:val="false"/>
        </w:rPr>
        <w:t xml:space="preserve">Citable para la Discusión:</w:t>
      </w:r>
      <w:r>
        <w:rPr>
          <w:b w:val="false"/>
          <w:bCs w:val="false"/>
          <w:i w:val="false"/>
          <w:iCs w:val="false"/>
        </w:rPr>
        <w:t xml:space="preserve"> la única "definición" que rompe el patrón asistente/subordinado es la técnica (P13, P14) — quienes describen </w:t>
      </w:r>
      <w:r>
        <w:rPr>
          <w:b w:val="false"/>
          <w:bCs w:val="false"/>
          <w:i/>
          <w:iCs/>
        </w:rPr>
        <w:t xml:space="preserve">cómo funciona</w:t>
      </w:r>
      <w:r>
        <w:rPr>
          <w:b w:val="false"/>
          <w:bCs w:val="false"/>
          <w:i w:val="false"/>
          <w:iCs w:val="false"/>
        </w:rPr>
        <w:t xml:space="preserve"> la IA, en vez de compararla con algo o alguien, no la ubican en un lugar relacional (par, asistente, amenaza) sino en un lugar de mecanismo. Vale la pena preguntarse si esto se relaciona con su alta formación específica (ambas tienen licenciatura en tecnologías digitales) — diálogo con Núcleo 3 (Alfabetización digital), §4.6 abajo.</w:t>
      </w:r>
    </w:p>
    <w:p>
      <w:pPr>
        <w:pBdr>
          <w:bottom w:val="single" w:color="auto" w:sz="6" w:space="1"/>
        </w:pBdr>
        <w:spacing w:after="200"/>
      </w:pPr>
    </w:p>
    <w:p>
      <w:pPr>
        <w:pStyle w:val="Heading2"/>
        <w:spacing w:after="120" w:before="240"/>
      </w:pPr>
      <w:r>
        <w:rPr>
          <w:b w:val="false"/>
          <w:bCs w:val="false"/>
          <w:i w:val="false"/>
          <w:iCs w:val="false"/>
        </w:rPr>
        <w:t xml:space="preserve">4.2 — Preocupaciones y expectativas</w:t>
      </w:r>
    </w:p>
    <w:p>
      <w:pPr>
        <w:spacing w:after="160"/>
      </w:pPr>
      <w:r>
        <w:rPr>
          <w:b/>
          <w:bCs/>
          <w:i w:val="false"/>
          <w:iCs w:val="false"/>
        </w:rPr>
        <w:t xml:space="preserve">Núcleos que alimentan (transversal, no un único núcleo — consistente con que el diseño no le dio códigos deductivos propios a este eje, ver Cap. 3 §3.6):</w:t>
      </w:r>
      <w:r>
        <w:rPr>
          <w:b w:val="false"/>
          <w:bCs w:val="false"/>
          <w:i w:val="false"/>
          <w:iCs w:val="false"/>
        </w:rPr>
        <w:t xml:space="preserve"> Núcleo 2 (</w:t>
      </w:r>
      <w:r>
        <w:rPr>
          <w:rFonts w:ascii="Courier New" w:cs="Courier New" w:eastAsia="Courier New" w:hAnsi="Courier New"/>
          <w:b w:val="false"/>
          <w:bCs w:val="false"/>
          <w:i w:val="false"/>
          <w:iCs w:val="false"/>
        </w:rPr>
        <w:t xml:space="preserve">limita_integracion_sustantiva</w:t>
      </w:r>
      <w:r>
        <w:rPr>
          <w:b w:val="false"/>
          <w:bCs w:val="false"/>
          <w:i w:val="false"/>
          <w:iCs w:val="false"/>
        </w:rPr>
        <w:t xml:space="preserve">), Núcleo 3 (</w:t>
      </w:r>
      <w:r>
        <w:rPr>
          <w:rFonts w:ascii="Courier New" w:cs="Courier New" w:eastAsia="Courier New" w:hAnsi="Courier New"/>
          <w:b w:val="false"/>
          <w:bCs w:val="false"/>
          <w:i w:val="false"/>
          <w:iCs w:val="false"/>
        </w:rPr>
        <w:t xml:space="preserve">competencia_critica_reflexiva</w:t>
      </w:r>
      <w:r>
        <w:rPr>
          <w:b w:val="false"/>
          <w:bCs w:val="false"/>
          <w:i w:val="false"/>
          <w:iCs w:val="false"/>
        </w:rPr>
        <w:t xml:space="preserve">), Núcleo 4 (</w:t>
      </w:r>
      <w:r>
        <w:rPr>
          <w:rFonts w:ascii="Courier New" w:cs="Courier New" w:eastAsia="Courier New" w:hAnsi="Courier New"/>
          <w:b w:val="false"/>
          <w:bCs w:val="false"/>
          <w:i w:val="false"/>
          <w:iCs w:val="false"/>
        </w:rPr>
        <w:t xml:space="preserve">imaginario_desigualdad_estructural</w:t>
      </w:r>
      <w:r>
        <w:rPr>
          <w:b w:val="false"/>
          <w:bCs w:val="false"/>
          <w:i w:val="false"/>
          <w:iCs w:val="false"/>
        </w:rPr>
        <w:t xml:space="preserve">, </w:t>
      </w:r>
      <w:r>
        <w:rPr>
          <w:rFonts w:ascii="Courier New" w:cs="Courier New" w:eastAsia="Courier New" w:hAnsi="Courier New"/>
          <w:b w:val="false"/>
          <w:bCs w:val="false"/>
          <w:i w:val="false"/>
          <w:iCs w:val="false"/>
        </w:rPr>
        <w:t xml:space="preserve">imaginario_rol_docente_futuro</w:t>
      </w:r>
      <w:r>
        <w:rPr>
          <w:b w:val="false"/>
          <w:bCs w:val="false"/>
          <w:i w:val="false"/>
          <w:iCs w:val="false"/>
        </w:rPr>
        <w:t xml:space="preserve">, </w:t>
      </w:r>
      <w:r>
        <w:rPr>
          <w:rFonts w:ascii="Courier New" w:cs="Courier New" w:eastAsia="Courier New" w:hAnsi="Courier New"/>
          <w:b w:val="false"/>
          <w:bCs w:val="false"/>
          <w:i w:val="false"/>
          <w:iCs w:val="false"/>
        </w:rPr>
        <w:t xml:space="preserve">eco_imaginario_mercantil_mediatico</w:t>
      </w:r>
      <w:r>
        <w:rPr>
          <w:b w:val="false"/>
          <w:bCs w:val="false"/>
          <w:i w:val="false"/>
          <w:iCs w:val="false"/>
        </w:rPr>
        <w:t xml:space="preserve">), y dos códigos inductivos (</w:t>
      </w:r>
      <w:r>
        <w:rPr>
          <w:rFonts w:ascii="Courier New" w:cs="Courier New" w:eastAsia="Courier New" w:hAnsi="Courier New"/>
          <w:b w:val="false"/>
          <w:bCs w:val="false"/>
          <w:i w:val="false"/>
          <w:iCs w:val="false"/>
        </w:rPr>
        <w:t xml:space="preserve">preocupacion_recursos_materiales_infraestructura</w:t>
      </w:r>
      <w:r>
        <w:rPr>
          <w:b w:val="false"/>
          <w:bCs w:val="false"/>
          <w:i w:val="false"/>
          <w:iCs w:val="false"/>
        </w:rPr>
        <w:t xml:space="preserve">, </w:t>
      </w:r>
      <w:r>
        <w:rPr>
          <w:rFonts w:ascii="Courier New" w:cs="Courier New" w:eastAsia="Courier New" w:hAnsi="Courier New"/>
          <w:b w:val="false"/>
          <w:bCs w:val="false"/>
          <w:i w:val="false"/>
          <w:iCs w:val="false"/>
        </w:rPr>
        <w:t xml:space="preserve">eco_de_par_colega</w:t>
      </w:r>
      <w:r>
        <w:rPr>
          <w:b w:val="false"/>
          <w:bCs w:val="false"/>
          <w:i w:val="false"/>
          <w:iCs w:val="false"/>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2C5" w:val="clear"/>
          </w:tcPr>
          <w:p>
            <w:r>
              <w:rPr>
                <w:b w:val="false"/>
                <w:bCs w:val="false"/>
                <w:i w:val="false"/>
                <w:iCs w:val="false"/>
              </w:rPr>
              <w:t xml:space="preserve">Código</w:t>
            </w:r>
          </w:p>
        </w:tc>
        <w:tc>
          <w:tcPr>
            <w:tcW w:type="dxa" w:w="3000"/>
            <w:shd w:fill="D9D2C5" w:val="clear"/>
          </w:tcPr>
          <w:p>
            <w:r>
              <w:rPr>
                <w:b w:val="false"/>
                <w:bCs w:val="false"/>
                <w:i w:val="false"/>
                <w:iCs w:val="false"/>
              </w:rPr>
              <w:t xml:space="preserve">Frecuencia</w:t>
            </w:r>
          </w:p>
        </w:tc>
        <w:tc>
          <w:tcPr>
            <w:tcW w:type="dxa" w:w="3000"/>
            <w:shd w:fill="D9D2C5" w:val="clear"/>
          </w:tcPr>
          <w:p>
            <w:r>
              <w:rPr>
                <w:b w:val="false"/>
                <w:bCs w:val="false"/>
                <w:i w:val="false"/>
                <w:iCs w:val="false"/>
              </w:rPr>
              <w:t xml:space="preserve">Lectura</w:t>
            </w:r>
          </w:p>
        </w:tc>
      </w:tr>
      <w:tr>
        <w:tc>
          <w:tcPr>
            <w:tcW w:type="dxa" w:w="3000"/>
          </w:tcPr>
          <w:p>
            <w:r>
              <w:rPr>
                <w:rFonts w:ascii="Courier New" w:cs="Courier New" w:eastAsia="Courier New" w:hAnsi="Courier New"/>
                <w:b w:val="false"/>
                <w:bCs w:val="false"/>
                <w:i w:val="false"/>
                <w:iCs w:val="false"/>
              </w:rPr>
              <w:t xml:space="preserve">limita_integracion_sustantiva</w:t>
            </w:r>
          </w:p>
        </w:tc>
        <w:tc>
          <w:tcPr>
            <w:tcW w:type="dxa" w:w="3000"/>
          </w:tcPr>
          <w:p>
            <w:r>
              <w:rPr>
                <w:b w:val="false"/>
                <w:bCs w:val="false"/>
                <w:i w:val="false"/>
                <w:iCs w:val="false"/>
              </w:rPr>
              <w:t xml:space="preserve">7/15 (P6,P8,P9,P13,P15,P1,P14)</w:t>
            </w:r>
          </w:p>
        </w:tc>
        <w:tc>
          <w:tcPr>
            <w:tcW w:type="dxa" w:w="3000"/>
          </w:tcPr>
          <w:p>
            <w:r>
              <w:rPr>
                <w:b w:val="false"/>
                <w:bCs w:val="false"/>
                <w:i w:val="false"/>
                <w:iCs w:val="false"/>
              </w:rPr>
              <w:t xml:space="preserve">La preocupación mejor representada del corpus — riesgo de tercerización del proceso cognitivo/creativo</w:t>
            </w:r>
          </w:p>
        </w:tc>
      </w:tr>
      <w:tr>
        <w:tc>
          <w:tcPr>
            <w:tcW w:type="dxa" w:w="3000"/>
          </w:tcPr>
          <w:p>
            <w:r>
              <w:rPr>
                <w:rFonts w:ascii="Courier New" w:cs="Courier New" w:eastAsia="Courier New" w:hAnsi="Courier New"/>
                <w:b w:val="false"/>
                <w:bCs w:val="false"/>
                <w:i w:val="false"/>
                <w:iCs w:val="false"/>
              </w:rPr>
              <w:t xml:space="preserve">preocupacion_recursos_materiales_infraestructura</w:t>
            </w:r>
            <w:r>
              <w:rPr>
                <w:b w:val="false"/>
                <w:bCs w:val="false"/>
                <w:i w:val="false"/>
                <w:iCs w:val="false"/>
              </w:rPr>
              <w:t xml:space="preserve"> (inductivo)</w:t>
            </w:r>
          </w:p>
        </w:tc>
        <w:tc>
          <w:tcPr>
            <w:tcW w:type="dxa" w:w="3000"/>
          </w:tcPr>
          <w:p>
            <w:r>
              <w:rPr>
                <w:b w:val="false"/>
                <w:bCs w:val="false"/>
                <w:i w:val="false"/>
                <w:iCs w:val="false"/>
              </w:rPr>
              <w:t xml:space="preserve">2/15 explícitos (P2, P1), reforzados en tono por otros casos</w:t>
            </w:r>
          </w:p>
        </w:tc>
        <w:tc>
          <w:tcPr>
            <w:tcW w:type="dxa" w:w="3000"/>
          </w:tcPr>
          <w:p>
            <w:r>
              <w:rPr>
                <w:b w:val="false"/>
                <w:bCs w:val="false"/>
                <w:i w:val="false"/>
                <w:iCs w:val="false"/>
              </w:rPr>
              <w:t xml:space="preserve">Preocupación </w:t>
            </w:r>
            <w:r>
              <w:rPr>
                <w:b/>
                <w:bCs/>
                <w:i w:val="false"/>
                <w:iCs w:val="false"/>
              </w:rPr>
              <w:t xml:space="preserve">material/logística</w:t>
            </w:r>
            <w:r>
              <w:rPr>
                <w:b w:val="false"/>
                <w:bCs w:val="false"/>
                <w:i w:val="false"/>
                <w:iCs w:val="false"/>
              </w:rPr>
              <w:t xml:space="preserve">, distinta de la preocupación pedagógica — no confundir en el Cap. 4</w:t>
            </w:r>
          </w:p>
        </w:tc>
      </w:tr>
      <w:tr>
        <w:tc>
          <w:tcPr>
            <w:tcW w:type="dxa" w:w="3000"/>
          </w:tcPr>
          <w:p>
            <w:r>
              <w:rPr>
                <w:rFonts w:ascii="Courier New" w:cs="Courier New" w:eastAsia="Courier New" w:hAnsi="Courier New"/>
                <w:b w:val="false"/>
                <w:bCs w:val="false"/>
                <w:i w:val="false"/>
                <w:iCs w:val="false"/>
              </w:rPr>
              <w:t xml:space="preserve">imaginario_desigualdad_estructural</w:t>
            </w:r>
          </w:p>
        </w:tc>
        <w:tc>
          <w:tcPr>
            <w:tcW w:type="dxa" w:w="3000"/>
          </w:tcPr>
          <w:p>
            <w:r>
              <w:rPr>
                <w:b w:val="false"/>
                <w:bCs w:val="false"/>
                <w:i w:val="false"/>
                <w:iCs w:val="false"/>
              </w:rPr>
              <w:t xml:space="preserve">5/15 (P7,P8,P10,P11,P13)</w:t>
            </w:r>
          </w:p>
        </w:tc>
        <w:tc>
          <w:tcPr>
            <w:tcW w:type="dxa" w:w="3000"/>
          </w:tcPr>
          <w:p>
            <w:r>
              <w:rPr>
                <w:b w:val="false"/>
                <w:bCs w:val="false"/>
                <w:i w:val="false"/>
                <w:iCs w:val="false"/>
              </w:rPr>
              <w:t xml:space="preserve">Con un matiz importante: P11 desplaza la lectura de clase social a </w:t>
            </w:r>
            <w:r>
              <w:rPr>
                <w:b/>
                <w:bCs/>
                <w:i w:val="false"/>
                <w:iCs w:val="false"/>
              </w:rPr>
              <w:t xml:space="preserve">acompañamiento familiar</w:t>
            </w:r>
            <w:r>
              <w:rPr>
                <w:b w:val="false"/>
                <w:bCs w:val="false"/>
                <w:i w:val="false"/>
                <w:iCs w:val="false"/>
              </w:rPr>
              <w:t xml:space="preserve"> — sub-dimensión distinta, no forzar a lectura puramente socioeconómica</w:t>
            </w:r>
          </w:p>
        </w:tc>
      </w:tr>
      <w:tr>
        <w:tc>
          <w:tcPr>
            <w:tcW w:type="dxa" w:w="3000"/>
          </w:tcPr>
          <w:p>
            <w:r>
              <w:rPr>
                <w:rFonts w:ascii="Courier New" w:cs="Courier New" w:eastAsia="Courier New" w:hAnsi="Courier New"/>
                <w:b w:val="false"/>
                <w:bCs w:val="false"/>
                <w:i w:val="false"/>
                <w:iCs w:val="false"/>
              </w:rPr>
              <w:t xml:space="preserve">eco_imaginario_mercantil_mediatico</w:t>
            </w:r>
          </w:p>
        </w:tc>
        <w:tc>
          <w:tcPr>
            <w:tcW w:type="dxa" w:w="3000"/>
          </w:tcPr>
          <w:p>
            <w:r>
              <w:rPr>
                <w:b/>
                <w:bCs/>
                <w:i w:val="false"/>
                <w:iCs w:val="false"/>
              </w:rPr>
              <w:t xml:space="preserve">1/15 (P1) — antes ausencia total</w:t>
            </w:r>
          </w:p>
        </w:tc>
        <w:tc>
          <w:tcPr>
            <w:tcW w:type="dxa" w:w="3000"/>
          </w:tcPr>
          <w:p>
            <w:r>
              <w:rPr>
                <w:b w:val="false"/>
                <w:bCs w:val="false"/>
                <w:i w:val="false"/>
                <w:iCs w:val="false"/>
              </w:rPr>
              <w:t xml:space="preserve">Hallazgo que cambió con el cierre del corpus — ver nota especial abajo</w:t>
            </w:r>
          </w:p>
        </w:tc>
      </w:tr>
      <w:tr>
        <w:tc>
          <w:tcPr>
            <w:tcW w:type="dxa" w:w="3000"/>
          </w:tcPr>
          <w:p>
            <w:r>
              <w:rPr>
                <w:rFonts w:ascii="Courier New" w:cs="Courier New" w:eastAsia="Courier New" w:hAnsi="Courier New"/>
                <w:b w:val="false"/>
                <w:bCs w:val="false"/>
                <w:i w:val="false"/>
                <w:iCs w:val="false"/>
              </w:rPr>
              <w:t xml:space="preserve">eco_de_par_colega</w:t>
            </w:r>
            <w:r>
              <w:rPr>
                <w:b w:val="false"/>
                <w:bCs w:val="false"/>
                <w:i w:val="false"/>
                <w:iCs w:val="false"/>
              </w:rPr>
              <w:t xml:space="preserve"> (inductivo, candidato a promoción)</w:t>
            </w:r>
          </w:p>
        </w:tc>
        <w:tc>
          <w:tcPr>
            <w:tcW w:type="dxa" w:w="3000"/>
          </w:tcPr>
          <w:p>
            <w:r>
              <w:rPr>
                <w:b w:val="false"/>
                <w:bCs w:val="false"/>
                <w:i w:val="false"/>
                <w:iCs w:val="false"/>
              </w:rPr>
              <w:t xml:space="preserve">3/15 (P3,P9,P1)</w:t>
            </w:r>
          </w:p>
        </w:tc>
        <w:tc>
          <w:tcPr>
            <w:tcW w:type="dxa" w:w="3000"/>
          </w:tcPr>
          <w:p>
            <w:r>
              <w:rPr>
                <w:b w:val="false"/>
                <w:bCs w:val="false"/>
                <w:i w:val="false"/>
                <w:iCs w:val="false"/>
              </w:rPr>
              <w:t xml:space="preserve">Preocupación mediada por un tercero (colega, amiga), no experiencia propia — patrón: siempre sobre estudiantes universitarios/terciarios "que ya no piensan", nunca sobre el propio nivel primario</w:t>
            </w:r>
          </w:p>
        </w:tc>
      </w:tr>
    </w:tbl>
    <w:p>
      <w:pPr>
        <w:spacing w:after="200"/>
      </w:pPr>
    </w:p>
    <w:p>
      <w:pPr>
        <w:spacing w:after="160"/>
      </w:pPr>
      <w:r>
        <w:rPr>
          <w:b/>
          <w:bCs/>
          <w:i w:val="false"/>
          <w:iCs w:val="false"/>
        </w:rPr>
        <w:t xml:space="preserve">Mejores citas:</w:t>
      </w:r>
    </w:p>
    <w:p>
      <w:pPr>
        <w:pStyle w:val="ListParagraph"/>
        <w:numPr>
          <w:ilvl w:val="0"/>
          <w:numId w:val="1"/>
        </w:numPr>
        <w:spacing w:after="80"/>
      </w:pPr>
      <w:r>
        <w:rPr>
          <w:b w:val="false"/>
          <w:bCs w:val="false"/>
          <w:i w:val="false"/>
          <w:iCs w:val="false"/>
        </w:rPr>
        <w:t xml:space="preserve">P1: </w:t>
      </w:r>
      <w:r>
        <w:rPr>
          <w:b w:val="false"/>
          <w:bCs w:val="false"/>
          <w:i/>
          <w:iCs/>
        </w:rPr>
        <w:t xml:space="preserve">"Siento que puede volverse como un vicio... me preocupa que quienes recién se están formando no desarrollen habilidades propias"</w:t>
      </w:r>
      <w:r>
        <w:rPr>
          <w:b w:val="false"/>
          <w:bCs w:val="false"/>
          <w:i w:val="false"/>
          <w:iCs w:val="false"/>
        </w:rPr>
        <w:t xml:space="preserve"> [04:18-04:40 aprox.]</w:t>
      </w:r>
    </w:p>
    <w:p>
      <w:pPr>
        <w:pStyle w:val="ListParagraph"/>
        <w:numPr>
          <w:ilvl w:val="0"/>
          <w:numId w:val="1"/>
        </w:numPr>
        <w:spacing w:after="80"/>
      </w:pPr>
      <w:r>
        <w:rPr>
          <w:b w:val="false"/>
          <w:bCs w:val="false"/>
          <w:i w:val="false"/>
          <w:iCs w:val="false"/>
        </w:rPr>
        <w:t xml:space="preserve">P1: </w:t>
      </w:r>
      <w:r>
        <w:rPr>
          <w:b w:val="false"/>
          <w:bCs w:val="false"/>
          <w:i/>
          <w:iCs/>
        </w:rPr>
        <w:t xml:space="preserve">"Vi en la tele que empresas como OpenAI están vinculadas con temas armamentísticos, con la guerra en Irán, y eso me genera desconfianza"</w:t>
      </w:r>
      <w:r>
        <w:rPr>
          <w:b w:val="false"/>
          <w:bCs w:val="false"/>
          <w:i w:val="false"/>
          <w:iCs w:val="false"/>
        </w:rPr>
        <w:t xml:space="preserve"> — </w:t>
      </w:r>
      <w:r>
        <w:rPr>
          <w:b/>
          <w:bCs/>
          <w:i w:val="false"/>
          <w:iCs w:val="false"/>
        </w:rPr>
        <w:t xml:space="preserve">única instancia de preocupación de origen mediático/corporativo en todo el corpus</w:t>
      </w:r>
    </w:p>
    <w:p>
      <w:pPr>
        <w:pStyle w:val="ListParagraph"/>
        <w:numPr>
          <w:ilvl w:val="0"/>
          <w:numId w:val="1"/>
        </w:numPr>
        <w:spacing w:after="80"/>
      </w:pPr>
      <w:r>
        <w:rPr>
          <w:b w:val="false"/>
          <w:bCs w:val="false"/>
          <w:i w:val="false"/>
          <w:iCs w:val="false"/>
        </w:rPr>
        <w:t xml:space="preserve">P7: </w:t>
      </w:r>
      <w:r>
        <w:rPr>
          <w:b w:val="false"/>
          <w:bCs w:val="false"/>
          <w:i/>
          <w:iCs/>
        </w:rPr>
        <w:t xml:space="preserve">"En esos coles invierten en tecnología... acá no se está invirtiendo"</w:t>
      </w:r>
      <w:r>
        <w:rPr>
          <w:b w:val="false"/>
          <w:bCs w:val="false"/>
          <w:i w:val="false"/>
          <w:iCs w:val="false"/>
        </w:rPr>
        <w:t xml:space="preserve"> [24:13] — comparación entre su escuela actual (privada subvencionada) y una anterior (privada de elite)</w:t>
      </w:r>
    </w:p>
    <w:p>
      <w:pPr>
        <w:pStyle w:val="ListParagraph"/>
        <w:numPr>
          <w:ilvl w:val="0"/>
          <w:numId w:val="1"/>
        </w:numPr>
        <w:spacing w:after="80"/>
      </w:pPr>
      <w:r>
        <w:rPr>
          <w:b w:val="false"/>
          <w:bCs w:val="false"/>
          <w:i w:val="false"/>
          <w:iCs w:val="false"/>
        </w:rPr>
        <w:t xml:space="preserve">P11: </w:t>
      </w:r>
      <w:r>
        <w:rPr>
          <w:b w:val="false"/>
          <w:bCs w:val="false"/>
          <w:i/>
          <w:iCs/>
        </w:rPr>
        <w:t xml:space="preserve">"Lo que más influye no es que sean pobres o de clase media... son los padres [presentes o no]"</w:t>
      </w:r>
      <w:r>
        <w:rPr>
          <w:b w:val="false"/>
          <w:bCs w:val="false"/>
          <w:i w:val="false"/>
          <w:iCs w:val="false"/>
        </w:rPr>
        <w:t xml:space="preserve"> [18:58] — matiz relevante, no colapsar con P7/P8/P10</w:t>
      </w:r>
    </w:p>
    <w:p>
      <w:pPr>
        <w:pStyle w:val="ListParagraph"/>
        <w:numPr>
          <w:ilvl w:val="0"/>
          <w:numId w:val="1"/>
        </w:numPr>
        <w:spacing w:after="80"/>
      </w:pPr>
      <w:r>
        <w:rPr>
          <w:b w:val="false"/>
          <w:bCs w:val="false"/>
          <w:i w:val="false"/>
          <w:iCs w:val="false"/>
        </w:rPr>
        <w:t xml:space="preserve">P9 y P3: ambas relatan preocupación </w:t>
      </w:r>
      <w:r>
        <w:rPr>
          <w:b/>
          <w:bCs/>
          <w:i w:val="false"/>
          <w:iCs w:val="false"/>
        </w:rPr>
        <w:t xml:space="preserve">ajena</w:t>
      </w:r>
      <w:r>
        <w:rPr>
          <w:b w:val="false"/>
          <w:bCs w:val="false"/>
          <w:i w:val="false"/>
          <w:iCs w:val="false"/>
        </w:rPr>
        <w:t xml:space="preserve"> (una amiga, una colega) sobre estudiantes universitarios que "ya no piensan" — buen material para una viñeta sobre </w:t>
      </w:r>
      <w:r>
        <w:rPr>
          <w:rFonts w:ascii="Courier New" w:cs="Courier New" w:eastAsia="Courier New" w:hAnsi="Courier New"/>
          <w:b w:val="false"/>
          <w:bCs w:val="false"/>
          <w:i w:val="false"/>
          <w:iCs w:val="false"/>
        </w:rPr>
        <w:t xml:space="preserve">eco_de_par_colega</w:t>
      </w:r>
    </w:p>
    <w:p>
      <w:pPr>
        <w:spacing w:after="160"/>
      </w:pPr>
      <w:r>
        <w:rPr>
          <w:b/>
          <w:bCs/>
          <w:i w:val="false"/>
          <w:iCs w:val="false"/>
        </w:rPr>
        <w:t xml:space="preserve">Nota especial — </w:t>
      </w:r>
      <w:r>
        <w:rPr>
          <w:rFonts w:ascii="Courier New" w:cs="Courier New" w:eastAsia="Courier New" w:hAnsi="Courier New"/>
          <w:b/>
          <w:bCs/>
          <w:i w:val="false"/>
          <w:iCs w:val="false"/>
        </w:rPr>
        <w:t xml:space="preserve">eco_imaginario_mercantil_mediatico</w:t>
      </w:r>
      <w:r>
        <w:rPr>
          <w:b/>
          <w:bCs/>
          <w:i w:val="false"/>
          <w:iCs w:val="false"/>
        </w:rPr>
        <w:t xml:space="preserve">:</w:t>
      </w:r>
      <w:r>
        <w:rPr>
          <w:b w:val="false"/>
          <w:bCs w:val="false"/>
          <w:i w:val="false"/>
          <w:iCs w:val="false"/>
        </w:rPr>
        <w:t xml:space="preserve"> este código venía reportado en todo el corpus (hasta la entrevista 14) como una </w:t>
      </w:r>
      <w:r>
        <w:rPr>
          <w:b/>
          <w:bCs/>
          <w:i w:val="false"/>
          <w:iCs w:val="false"/>
        </w:rPr>
        <w:t xml:space="preserve">ausencia sustantiva</w:t>
      </w:r>
      <w:r>
        <w:rPr>
          <w:b w:val="false"/>
          <w:bCs w:val="false"/>
          <w:i w:val="false"/>
          <w:iCs w:val="false"/>
        </w:rPr>
        <w:t xml:space="preserve"> ("el discurso mediático/comercial sobre IA no aparece en el discurso espontáneo de las docentes"). P1 rompe esa ausencia con una instancia clara y explícita. </w:t>
      </w:r>
      <w:r>
        <w:rPr>
          <w:b/>
          <w:bCs/>
          <w:i w:val="false"/>
          <w:iCs w:val="false"/>
        </w:rPr>
        <w:t xml:space="preserve">Para el Cap. 4, esto se reporta mejor como "presencia rara pero clara (1/15)"</w:t>
      </w:r>
      <w:r>
        <w:rPr>
          <w:b w:val="false"/>
          <w:bCs w:val="false"/>
          <w:i w:val="false"/>
          <w:iCs w:val="false"/>
        </w:rPr>
        <w:t xml:space="preserve"> — sigue siendo un hallazgo de baja frecuencia (vale la pena preguntarse por qué el discurso mediático apenas aparece, cuando es omnipresente en otros ámbitos), pero ya no puede afirmarse como ausencia total.</w:t>
      </w:r>
    </w:p>
    <w:p>
      <w:pPr>
        <w:spacing w:after="160"/>
      </w:pPr>
      <w:r>
        <w:rPr>
          <w:b/>
          <w:bCs/>
          <w:i w:val="false"/>
          <w:iCs w:val="false"/>
        </w:rPr>
        <w:t xml:space="preserve">Caso negativo/desviante a nombrar:</w:t>
      </w:r>
      <w:r>
        <w:rPr>
          <w:b w:val="false"/>
          <w:bCs w:val="false"/>
          <w:i w:val="false"/>
          <w:iCs w:val="false"/>
        </w:rPr>
        <w:t xml:space="preserve"> P8 es la única que, preguntada por el futuro (Bloque 7), dice </w:t>
      </w:r>
      <w:r>
        <w:rPr>
          <w:b w:val="false"/>
          <w:bCs w:val="false"/>
          <w:i/>
          <w:iCs/>
        </w:rPr>
        <w:t xml:space="preserve">"no, no creo que cambie nada en 5 años"</w:t>
      </w:r>
      <w:r>
        <w:rPr>
          <w:b w:val="false"/>
          <w:bCs w:val="false"/>
          <w:i w:val="false"/>
          <w:iCs w:val="false"/>
        </w:rPr>
        <w:t xml:space="preserve"> — no por escepticismo tecnológico sino por falta de voluntad/resistencia docente estructural. Vale la pena contrastarla con el resto del corpus, que sí proyecta cambio (aunque con distinto signo).</w:t>
      </w:r>
    </w:p>
    <w:p>
      <w:pPr>
        <w:pBdr>
          <w:bottom w:val="single" w:color="auto" w:sz="6" w:space="1"/>
        </w:pBdr>
        <w:spacing w:after="200"/>
      </w:pPr>
    </w:p>
    <w:p>
      <w:pPr>
        <w:pStyle w:val="Heading2"/>
        <w:spacing w:after="120" w:before="240"/>
      </w:pPr>
      <w:r>
        <w:rPr>
          <w:b w:val="false"/>
          <w:bCs w:val="false"/>
          <w:i w:val="false"/>
          <w:iCs w:val="false"/>
        </w:rPr>
        <w:t xml:space="preserve">4.3 — Concepciones sobre el potencial pedagógico (diálogo con Ausubel)</w:t>
      </w:r>
    </w:p>
    <w:p>
      <w:pPr>
        <w:spacing w:after="160"/>
      </w:pPr>
      <w:r>
        <w:rPr>
          <w:b/>
          <w:bCs/>
          <w:i w:val="false"/>
          <w:iCs w:val="false"/>
        </w:rPr>
        <w:t xml:space="preserve">Núcleo que alimenta:</w:t>
      </w:r>
      <w:r>
        <w:rPr>
          <w:b w:val="false"/>
          <w:bCs w:val="false"/>
          <w:i w:val="false"/>
          <w:iCs w:val="false"/>
        </w:rPr>
        <w:t xml:space="preserve"> Núcleo 2 (Aprendizaje significativo).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2C5" w:val="clear"/>
          </w:tcPr>
          <w:p>
            <w:r>
              <w:rPr>
                <w:b w:val="false"/>
                <w:bCs w:val="false"/>
                <w:i w:val="false"/>
                <w:iCs w:val="false"/>
              </w:rPr>
              <w:t xml:space="preserve">Código</w:t>
            </w:r>
          </w:p>
        </w:tc>
        <w:tc>
          <w:tcPr>
            <w:tcW w:type="dxa" w:w="3000"/>
            <w:shd w:fill="D9D2C5" w:val="clear"/>
          </w:tcPr>
          <w:p>
            <w:r>
              <w:rPr>
                <w:b w:val="false"/>
                <w:bCs w:val="false"/>
                <w:i w:val="false"/>
                <w:iCs w:val="false"/>
              </w:rPr>
              <w:t xml:space="preserve">Frecuencia</w:t>
            </w:r>
          </w:p>
        </w:tc>
        <w:tc>
          <w:tcPr>
            <w:tcW w:type="dxa" w:w="3000"/>
            <w:shd w:fill="D9D2C5" w:val="clear"/>
          </w:tcPr>
          <w:p>
            <w:r>
              <w:rPr>
                <w:b w:val="false"/>
                <w:bCs w:val="false"/>
                <w:i w:val="false"/>
                <w:iCs w:val="false"/>
              </w:rPr>
              <w:t xml:space="preserve">Lectura</w:t>
            </w:r>
          </w:p>
        </w:tc>
      </w:tr>
      <w:tr>
        <w:tc>
          <w:tcPr>
            <w:tcW w:type="dxa" w:w="3000"/>
          </w:tcPr>
          <w:p>
            <w:r>
              <w:rPr>
                <w:rFonts w:ascii="Courier New" w:cs="Courier New" w:eastAsia="Courier New" w:hAnsi="Courier New"/>
                <w:b w:val="false"/>
                <w:bCs w:val="false"/>
                <w:i w:val="false"/>
                <w:iCs w:val="false"/>
              </w:rPr>
              <w:t xml:space="preserve">potencia_integracion_sustantiva</w:t>
            </w:r>
          </w:p>
        </w:tc>
        <w:tc>
          <w:tcPr>
            <w:tcW w:type="dxa" w:w="3000"/>
          </w:tcPr>
          <w:p>
            <w:r>
              <w:rPr>
                <w:b w:val="false"/>
                <w:bCs w:val="false"/>
                <w:i w:val="false"/>
                <w:iCs w:val="false"/>
              </w:rPr>
              <w:t xml:space="preserve">8/15 (P2,P3,P5,P6,P7,P8,P10,P13)</w:t>
            </w:r>
          </w:p>
        </w:tc>
        <w:tc>
          <w:tcPr>
            <w:tcW w:type="dxa" w:w="3000"/>
          </w:tcPr>
          <w:p>
            <w:r>
              <w:rPr>
                <w:b w:val="false"/>
                <w:bCs w:val="false"/>
                <w:i w:val="false"/>
                <w:iCs w:val="false"/>
              </w:rPr>
              <w:t xml:space="preserve">Ni P1 ni P14 aportan instancia clara — ambas con posturas más cautelosas</w:t>
            </w:r>
          </w:p>
        </w:tc>
      </w:tr>
      <w:tr>
        <w:tc>
          <w:tcPr>
            <w:tcW w:type="dxa" w:w="3000"/>
          </w:tcPr>
          <w:p>
            <w:r>
              <w:rPr>
                <w:rFonts w:ascii="Courier New" w:cs="Courier New" w:eastAsia="Courier New" w:hAnsi="Courier New"/>
                <w:b w:val="false"/>
                <w:bCs w:val="false"/>
                <w:i w:val="false"/>
                <w:iCs w:val="false"/>
              </w:rPr>
              <w:t xml:space="preserve">limita_integracion_sustantiva</w:t>
            </w:r>
          </w:p>
        </w:tc>
        <w:tc>
          <w:tcPr>
            <w:tcW w:type="dxa" w:w="3000"/>
          </w:tcPr>
          <w:p>
            <w:r>
              <w:rPr>
                <w:b w:val="false"/>
                <w:bCs w:val="false"/>
                <w:i w:val="false"/>
                <w:iCs w:val="false"/>
              </w:rPr>
              <w:t xml:space="preserve">7/15 (P6,P8,P9,P13,P15,P1,P14)</w:t>
            </w:r>
          </w:p>
        </w:tc>
        <w:tc>
          <w:tcPr>
            <w:tcW w:type="dxa" w:w="3000"/>
          </w:tcPr>
          <w:p>
            <w:r>
              <w:rPr>
                <w:b w:val="false"/>
                <w:bCs w:val="false"/>
                <w:i w:val="false"/>
                <w:iCs w:val="false"/>
              </w:rPr>
              <w:t xml:space="preserve">Ver también §4.2 — el mismo código alimenta preocupaciones y concepción pedagógica; en esta subsección, enfocar en el argumento </w:t>
            </w:r>
            <w:r>
              <w:rPr>
                <w:b/>
                <w:bCs/>
                <w:i w:val="false"/>
                <w:iCs w:val="false"/>
              </w:rPr>
              <w:t xml:space="preserve">pedagógico</w:t>
            </w:r>
            <w:r>
              <w:rPr>
                <w:b w:val="false"/>
                <w:bCs w:val="false"/>
                <w:i w:val="false"/>
                <w:iCs w:val="false"/>
              </w:rPr>
              <w:t xml:space="preserve"> (no delega el aprendizaje), no en el argumento de riesgo general</w:t>
            </w:r>
          </w:p>
        </w:tc>
      </w:tr>
      <w:tr>
        <w:tc>
          <w:tcPr>
            <w:tcW w:type="dxa" w:w="3000"/>
          </w:tcPr>
          <w:p>
            <w:r>
              <w:rPr>
                <w:rFonts w:ascii="Courier New" w:cs="Courier New" w:eastAsia="Courier New" w:hAnsi="Courier New"/>
                <w:b w:val="false"/>
                <w:bCs w:val="false"/>
                <w:i w:val="false"/>
                <w:iCs w:val="false"/>
              </w:rPr>
              <w:t xml:space="preserve">adaptacion_saberes_previos</w:t>
            </w:r>
          </w:p>
        </w:tc>
        <w:tc>
          <w:tcPr>
            <w:tcW w:type="dxa" w:w="3000"/>
          </w:tcPr>
          <w:p>
            <w:r>
              <w:rPr>
                <w:b w:val="false"/>
                <w:bCs w:val="false"/>
                <w:i w:val="false"/>
                <w:iCs w:val="false"/>
              </w:rPr>
              <w:t xml:space="preserve">3/15 (P3,P7,P8)</w:t>
            </w:r>
          </w:p>
        </w:tc>
        <w:tc>
          <w:tcPr>
            <w:tcW w:type="dxa" w:w="3000"/>
          </w:tcPr>
          <w:p>
            <w:r>
              <w:rPr>
                <w:b w:val="false"/>
                <w:bCs w:val="false"/>
                <w:i w:val="false"/>
                <w:iCs w:val="false"/>
              </w:rPr>
              <w:t xml:space="preserve">Siempre ligado a un caso concreto de un alumno con dificultades — se superpone consistentemente con </w:t>
            </w:r>
            <w:r>
              <w:rPr>
                <w:rFonts w:ascii="Courier New" w:cs="Courier New" w:eastAsia="Courier New" w:hAnsi="Courier New"/>
                <w:b w:val="false"/>
                <w:bCs w:val="false"/>
                <w:i w:val="false"/>
                <w:iCs w:val="false"/>
              </w:rPr>
              <w:t xml:space="preserve">criterio_contextual_grupo</w:t>
            </w:r>
            <w:r>
              <w:rPr>
                <w:b w:val="false"/>
                <w:bCs w:val="false"/>
                <w:i w:val="false"/>
                <w:iCs w:val="false"/>
              </w:rPr>
              <w:t xml:space="preserve"> (§4.4), tal como anticipaba el codebook</w:t>
            </w:r>
          </w:p>
        </w:tc>
      </w:tr>
    </w:tbl>
    <w:p>
      <w:pPr>
        <w:spacing w:after="200"/>
      </w:pPr>
    </w:p>
    <w:p>
      <w:pPr>
        <w:spacing w:after="160"/>
      </w:pPr>
      <w:r>
        <w:rPr>
          <w:b/>
          <w:bCs/>
          <w:i w:val="false"/>
          <w:iCs w:val="false"/>
        </w:rPr>
        <w:t xml:space="preserve">Mejores citas:</w:t>
      </w:r>
    </w:p>
    <w:p>
      <w:pPr>
        <w:pStyle w:val="ListParagraph"/>
        <w:numPr>
          <w:ilvl w:val="0"/>
          <w:numId w:val="1"/>
        </w:numPr>
        <w:spacing w:after="80"/>
      </w:pPr>
      <w:r>
        <w:rPr>
          <w:b w:val="false"/>
          <w:bCs w:val="false"/>
          <w:i w:val="false"/>
          <w:iCs w:val="false"/>
        </w:rPr>
        <w:t xml:space="preserve">P15: </w:t>
      </w:r>
      <w:r>
        <w:rPr>
          <w:b w:val="false"/>
          <w:bCs w:val="false"/>
          <w:i/>
          <w:iCs/>
        </w:rPr>
        <w:t xml:space="preserve">"No tiene una experticia... si el docente no lo pensó, no está... es el docente que arma la secuencia, la IA lo puede ayudar, orientar u ordenar"</w:t>
      </w:r>
      <w:r>
        <w:rPr>
          <w:b w:val="false"/>
          <w:bCs w:val="false"/>
          <w:i w:val="false"/>
          <w:iCs w:val="false"/>
        </w:rPr>
        <w:t xml:space="preserve"> [16:34-17:32] — la formulación más explícita y citable de todo el corpus sobre el argumento "el aprendizaje significativo depende del diseño docente previo, no de una capacidad propia de la IA"</w:t>
      </w:r>
    </w:p>
    <w:p>
      <w:pPr>
        <w:pStyle w:val="ListParagraph"/>
        <w:numPr>
          <w:ilvl w:val="0"/>
          <w:numId w:val="1"/>
        </w:numPr>
        <w:spacing w:after="80"/>
      </w:pPr>
      <w:r>
        <w:rPr>
          <w:b w:val="false"/>
          <w:bCs w:val="false"/>
          <w:i w:val="false"/>
          <w:iCs w:val="false"/>
        </w:rPr>
        <w:t xml:space="preserve">P1: </w:t>
      </w:r>
      <w:r>
        <w:rPr>
          <w:b w:val="false"/>
          <w:bCs w:val="false"/>
          <w:i/>
          <w:iCs/>
        </w:rPr>
        <w:t xml:space="preserve">"[Un alumno] la trajo hecha con IA. Y yo pensé: ¿qué gracia tiene?... se trata de aprender, no de que lo haga otro"</w:t>
      </w:r>
      <w:r>
        <w:rPr>
          <w:b w:val="false"/>
          <w:bCs w:val="false"/>
          <w:i w:val="false"/>
          <w:iCs w:val="false"/>
        </w:rPr>
        <w:t xml:space="preserve"> — objeto: creación artística (letra de blues)</w:t>
      </w:r>
    </w:p>
    <w:p>
      <w:pPr>
        <w:pStyle w:val="ListParagraph"/>
        <w:numPr>
          <w:ilvl w:val="0"/>
          <w:numId w:val="1"/>
        </w:numPr>
        <w:spacing w:after="80"/>
      </w:pPr>
      <w:r>
        <w:rPr>
          <w:b w:val="false"/>
          <w:bCs w:val="false"/>
          <w:i w:val="false"/>
          <w:iCs w:val="false"/>
        </w:rPr>
        <w:t xml:space="preserve">P13: </w:t>
      </w:r>
      <w:r>
        <w:rPr>
          <w:b w:val="false"/>
          <w:bCs w:val="false"/>
          <w:i/>
          <w:iCs/>
        </w:rPr>
        <w:t xml:space="preserve">"Siempre y cuando estemos atentos a no tercerizar el proceso cognitivo"</w:t>
      </w:r>
      <w:r>
        <w:rPr>
          <w:b w:val="false"/>
          <w:bCs w:val="false"/>
          <w:i w:val="false"/>
          <w:iCs w:val="false"/>
        </w:rPr>
        <w:t xml:space="preserve"> — riesgo cuando la IA "sustituye el esfuerzo de recordar, escribir, investigar" [21:26]</w:t>
      </w:r>
    </w:p>
    <w:p>
      <w:pPr>
        <w:pStyle w:val="ListParagraph"/>
        <w:numPr>
          <w:ilvl w:val="0"/>
          <w:numId w:val="1"/>
        </w:numPr>
        <w:spacing w:after="80"/>
      </w:pPr>
      <w:r>
        <w:rPr>
          <w:b w:val="false"/>
          <w:bCs w:val="false"/>
          <w:i w:val="false"/>
          <w:iCs w:val="false"/>
        </w:rPr>
        <w:t xml:space="preserve">P7: proyecto colaborativo de 4 grados donde la IA estructuró actos de una obra sobre Roald Dahl para coordinar escritura grupal [22:28] — buen contraejemplo de uso que sí potencia integración sustantiva</w:t>
      </w:r>
    </w:p>
    <w:p>
      <w:pPr>
        <w:pStyle w:val="ListParagraph"/>
        <w:numPr>
          <w:ilvl w:val="0"/>
          <w:numId w:val="1"/>
        </w:numPr>
        <w:spacing w:after="80"/>
      </w:pPr>
      <w:r>
        <w:rPr>
          <w:b w:val="false"/>
          <w:bCs w:val="false"/>
          <w:i w:val="false"/>
          <w:iCs w:val="false"/>
        </w:rPr>
        <w:t xml:space="preserve">P8: actividad reparatoria armada con ChatGPT para un alumno que no sabe leer/escribir [18:52] — instancia de </w:t>
      </w:r>
      <w:r>
        <w:rPr>
          <w:rFonts w:ascii="Courier New" w:cs="Courier New" w:eastAsia="Courier New" w:hAnsi="Courier New"/>
          <w:b w:val="false"/>
          <w:bCs w:val="false"/>
          <w:i w:val="false"/>
          <w:iCs w:val="false"/>
        </w:rPr>
        <w:t xml:space="preserve">adaptacion_saberes_previos</w:t>
      </w:r>
      <w:r>
        <w:rPr>
          <w:b w:val="false"/>
          <w:bCs w:val="false"/>
          <w:i w:val="false"/>
          <w:iCs w:val="false"/>
        </w:rPr>
        <w:t xml:space="preserve"> más citable</w:t>
      </w:r>
    </w:p>
    <w:p>
      <w:pPr>
        <w:spacing w:after="160"/>
      </w:pPr>
      <w:r>
        <w:rPr>
          <w:b/>
          <w:bCs/>
          <w:i w:val="false"/>
          <w:iCs w:val="false"/>
        </w:rPr>
        <w:t xml:space="preserve">Caso negativo/desviante a nombrar:</w:t>
      </w:r>
      <w:r>
        <w:rPr>
          <w:b w:val="false"/>
          <w:bCs w:val="false"/>
          <w:i w:val="false"/>
          <w:iCs w:val="false"/>
        </w:rPr>
        <w:t xml:space="preserve"> P13 es la única que sostiene </w:t>
      </w:r>
      <w:r>
        <w:rPr>
          <w:b/>
          <w:bCs/>
          <w:i w:val="false"/>
          <w:iCs w:val="false"/>
        </w:rPr>
        <w:t xml:space="preserve">ambos</w:t>
      </w:r>
      <w:r>
        <w:rPr>
          <w:b w:val="false"/>
          <w:bCs w:val="false"/>
          <w:i w:val="false"/>
          <w:iCs w:val="false"/>
        </w:rPr>
        <w:t xml:space="preserve"> códigos en la misma entrevista, sin resolver la tensión hacia un solo lado — potencia Y limita, según el uso — un matiz más rico que la mayoría de los casos, que tienden a un signo dominante. Buen material para complejizar la Discusión en vez de presentar una dicotomía simple.</w:t>
      </w:r>
    </w:p>
    <w:p>
      <w:pPr>
        <w:spacing w:after="160"/>
      </w:pPr>
      <w:r>
        <w:rPr>
          <w:b/>
          <w:bCs/>
          <w:i w:val="false"/>
          <w:iCs w:val="false"/>
        </w:rPr>
        <w:t xml:space="preserve">Hallazgo adicional (relectura 2026-08-07, ver </w:t>
      </w:r>
      <w:r>
        <w:rPr>
          <w:rFonts w:ascii="Courier New" w:cs="Courier New" w:eastAsia="Courier New" w:hAnsi="Courier New"/>
          <w:b/>
          <w:bCs/>
          <w:i w:val="false"/>
          <w:iCs w:val="false"/>
        </w:rPr>
        <w:t xml:space="preserve">relectura_producto_proceso_aprendizaje.md</w:t>
      </w:r>
      <w:r>
        <w:rPr>
          <w:b/>
          <w:bCs/>
          <w:i w:val="false"/>
          <w:iCs w:val="false"/>
        </w:rPr>
        <w:t xml:space="preserve">) — producto/proceso vs. aprendizaje articulado:</w:t>
      </w:r>
      <w:r>
        <w:rPr>
          <w:b w:val="false"/>
          <w:bCs w:val="false"/>
          <w:i w:val="false"/>
          <w:iCs w:val="false"/>
        </w:rPr>
        <w:t xml:space="preserve"> de los 7 ejemplos concretos de uso narrados en todo el corpus (P1, P3 ×2, P7, P8, P15 ×2), </w:t>
      </w:r>
      <w:r>
        <w:rPr>
          <w:b/>
          <w:bCs/>
          <w:i w:val="false"/>
          <w:iCs w:val="false"/>
        </w:rPr>
        <w:t xml:space="preserve">ninguno articula qué comprendió o logró efectivamente el estudiante</w:t>
      </w:r>
      <w:r>
        <w:rPr>
          <w:b w:val="false"/>
          <w:bCs w:val="false"/>
          <w:i w:val="false"/>
          <w:iCs w:val="false"/>
        </w:rPr>
        <w:t xml:space="preserve"> — todos se agotan en qué se produjo o cómo se usó la herramienta (código inductivo </w:t>
      </w:r>
      <w:r>
        <w:rPr>
          <w:rFonts w:ascii="Courier New" w:cs="Courier New" w:eastAsia="Courier New" w:hAnsi="Courier New"/>
          <w:b w:val="false"/>
          <w:bCs w:val="false"/>
          <w:i w:val="false"/>
          <w:iCs w:val="false"/>
        </w:rPr>
        <w:t xml:space="preserve">ejemplo_centrado_producto_proceso</w:t>
      </w:r>
      <w:r>
        <w:rPr>
          <w:b w:val="false"/>
          <w:bCs w:val="false"/>
          <w:i w:val="false"/>
          <w:iCs w:val="false"/>
        </w:rPr>
        <w:t xml:space="preserve">, 5/15). Búsqueda activa de la contraparte (</w:t>
      </w:r>
      <w:r>
        <w:rPr>
          <w:rFonts w:ascii="Courier New" w:cs="Courier New" w:eastAsia="Courier New" w:hAnsi="Courier New"/>
          <w:b w:val="false"/>
          <w:bCs w:val="false"/>
          <w:i w:val="false"/>
          <w:iCs w:val="false"/>
        </w:rPr>
        <w:t xml:space="preserve">aprendizaje_explicitado_en_ejemplo</w:t>
      </w:r>
      <w:r>
        <w:rPr>
          <w:b w:val="false"/>
          <w:bCs w:val="false"/>
          <w:i w:val="false"/>
          <w:iCs w:val="false"/>
        </w:rPr>
        <w:t xml:space="preserve">) dio </w:t>
      </w:r>
      <w:r>
        <w:rPr>
          <w:b/>
          <w:bCs/>
          <w:i w:val="false"/>
          <w:iCs w:val="false"/>
        </w:rPr>
        <w:t xml:space="preserve">0/15</w:t>
      </w:r>
      <w:r>
        <w:rPr>
          <w:b w:val="false"/>
          <w:bCs w:val="false"/>
          <w:i w:val="false"/>
          <w:iCs w:val="false"/>
        </w:rPr>
        <w:t xml:space="preserve">. Dos matices que enriquecen esto, no lo simplifican: (a) P1 y P9 sí nombran el aprendizaje, pero como razón para </w:t>
      </w:r>
      <w:r>
        <w:rPr>
          <w:b/>
          <w:bCs/>
          <w:i w:val="false"/>
          <w:iCs w:val="false"/>
        </w:rPr>
        <w:t xml:space="preserve">rechazar</w:t>
      </w:r>
      <w:r>
        <w:rPr>
          <w:b w:val="false"/>
          <w:bCs w:val="false"/>
          <w:i w:val="false"/>
          <w:iCs w:val="false"/>
        </w:rPr>
        <w:t xml:space="preserve"> el uso de IA, no como efecto de usarla; (b) P12 aporta el dato más fuerte de todo el corpus en cualquier dirección — evidencia </w:t>
      </w:r>
      <w:r>
        <w:rPr>
          <w:b/>
          <w:bCs/>
          <w:i w:val="false"/>
          <w:iCs w:val="false"/>
        </w:rPr>
        <w:t xml:space="preserve">observada de que el aprendizaje no ocurrió</w:t>
      </w:r>
      <w:r>
        <w:rPr>
          <w:b w:val="false"/>
          <w:bCs w:val="false"/>
          <w:i w:val="false"/>
          <w:iCs w:val="false"/>
        </w:rPr>
        <w:t xml:space="preserve"> (estudiantes que copiaron de la IA repitieron sin darse cuenta una palabra-trampa oculta en la consigna). </w:t>
      </w:r>
      <w:r>
        <w:rPr>
          <w:b/>
          <w:bCs/>
          <w:i w:val="false"/>
          <w:iCs w:val="false"/>
        </w:rPr>
        <w:t xml:space="preserve">Lectura propuesta para la Discusión:</w:t>
      </w:r>
      <w:r>
        <w:rPr>
          <w:b w:val="false"/>
          <w:bCs w:val="false"/>
          <w:i w:val="false"/>
          <w:iCs w:val="false"/>
        </w:rPr>
        <w:t xml:space="preserve"> "aprendizaje significativo" funciona en este corpus más como marco aspiracional que organiza el criterio de diseño (coherente con que </w:t>
      </w:r>
      <w:r>
        <w:rPr>
          <w:rFonts w:ascii="Courier New" w:cs="Courier New" w:eastAsia="Courier New" w:hAnsi="Courier New"/>
          <w:b w:val="false"/>
          <w:bCs w:val="false"/>
          <w:i w:val="false"/>
          <w:iCs w:val="false"/>
        </w:rPr>
        <w:t xml:space="preserve">criterio_sentido_pedagogico</w:t>
      </w:r>
      <w:r>
        <w:rPr>
          <w:b w:val="false"/>
          <w:bCs w:val="false"/>
          <w:i w:val="false"/>
          <w:iCs w:val="false"/>
        </w:rPr>
        <w:t xml:space="preserve"> sea el código más frecuente, ver §4.4) que como algo que las docentes puedan evidenciar desde su propia práctica — límite epistemológico a declarar explícitamente, no a dejar implícito.</w:t>
      </w:r>
    </w:p>
    <w:p>
      <w:pPr>
        <w:pBdr>
          <w:bottom w:val="single" w:color="auto" w:sz="6" w:space="1"/>
        </w:pBdr>
        <w:spacing w:after="200"/>
      </w:pPr>
    </w:p>
    <w:p>
      <w:pPr>
        <w:pStyle w:val="Heading2"/>
        <w:spacing w:after="120" w:before="240"/>
      </w:pPr>
      <w:r>
        <w:rPr>
          <w:b w:val="false"/>
          <w:bCs w:val="false"/>
          <w:i w:val="false"/>
          <w:iCs w:val="false"/>
        </w:rPr>
        <w:t xml:space="preserve">4.4 — Usos proyectados en el diseño de propuestas didácticas</w:t>
      </w:r>
    </w:p>
    <w:p>
      <w:pPr>
        <w:spacing w:after="160"/>
      </w:pPr>
      <w:r>
        <w:rPr>
          <w:b/>
          <w:bCs/>
          <w:i w:val="false"/>
          <w:iCs w:val="false"/>
        </w:rPr>
        <w:t xml:space="preserve">Núcleo que alimenta:</w:t>
      </w:r>
      <w:r>
        <w:rPr>
          <w:b w:val="false"/>
          <w:bCs w:val="false"/>
          <w:i w:val="false"/>
          <w:iCs w:val="false"/>
        </w:rPr>
        <w:t xml:space="preserve"> Núcleo 5 (Diseño didáctico y uso pedagógico — el núcleo agregado en Revisión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2C5" w:val="clear"/>
          </w:tcPr>
          <w:p>
            <w:r>
              <w:rPr>
                <w:b w:val="false"/>
                <w:bCs w:val="false"/>
                <w:i w:val="false"/>
                <w:iCs w:val="false"/>
              </w:rPr>
              <w:t xml:space="preserve">Código</w:t>
            </w:r>
          </w:p>
        </w:tc>
        <w:tc>
          <w:tcPr>
            <w:tcW w:type="dxa" w:w="3000"/>
            <w:shd w:fill="D9D2C5" w:val="clear"/>
          </w:tcPr>
          <w:p>
            <w:r>
              <w:rPr>
                <w:b w:val="false"/>
                <w:bCs w:val="false"/>
                <w:i w:val="false"/>
                <w:iCs w:val="false"/>
              </w:rPr>
              <w:t xml:space="preserve">Frecuencia</w:t>
            </w:r>
          </w:p>
        </w:tc>
        <w:tc>
          <w:tcPr>
            <w:tcW w:type="dxa" w:w="3000"/>
            <w:shd w:fill="D9D2C5" w:val="clear"/>
          </w:tcPr>
          <w:p>
            <w:r>
              <w:rPr>
                <w:b w:val="false"/>
                <w:bCs w:val="false"/>
                <w:i w:val="false"/>
                <w:iCs w:val="false"/>
              </w:rPr>
              <w:t xml:space="preserve">Lectura</w:t>
            </w:r>
          </w:p>
        </w:tc>
      </w:tr>
      <w:tr>
        <w:tc>
          <w:tcPr>
            <w:tcW w:type="dxa" w:w="3000"/>
          </w:tcPr>
          <w:p>
            <w:r>
              <w:rPr>
                <w:rFonts w:ascii="Courier New" w:cs="Courier New" w:eastAsia="Courier New" w:hAnsi="Courier New"/>
                <w:b w:val="false"/>
                <w:bCs w:val="false"/>
                <w:i w:val="false"/>
                <w:iCs w:val="false"/>
              </w:rPr>
              <w:t xml:space="preserve">criterio_sentido_pedagogico</w:t>
            </w:r>
          </w:p>
        </w:tc>
        <w:tc>
          <w:tcPr>
            <w:tcW w:type="dxa" w:w="3000"/>
          </w:tcPr>
          <w:p>
            <w:r>
              <w:rPr>
                <w:b/>
                <w:bCs/>
                <w:i w:val="false"/>
                <w:iCs w:val="false"/>
              </w:rPr>
              <w:t xml:space="preserve">11/15 — el código de mayor frecuencia de todo el corpus</w:t>
            </w:r>
            <w:r>
              <w:rPr>
                <w:b w:val="false"/>
                <w:bCs w:val="false"/>
                <w:i w:val="false"/>
                <w:iCs w:val="false"/>
              </w:rPr>
              <w:t xml:space="preserve"> (P3,P4,P5,P7,P8,P9,P10,P12,P15,P1,P14)</w:t>
            </w:r>
          </w:p>
        </w:tc>
        <w:tc>
          <w:tcPr>
            <w:tcW w:type="dxa" w:w="3000"/>
          </w:tcPr>
          <w:p>
            <w:r>
              <w:rPr>
                <w:b w:val="false"/>
                <w:bCs w:val="false"/>
                <w:i w:val="false"/>
                <w:iCs w:val="false"/>
              </w:rPr>
              <w:t xml:space="preserve">Confirma la predicción del codebook desde el procesamiento exploratorio inicial</w:t>
            </w:r>
          </w:p>
        </w:tc>
      </w:tr>
      <w:tr>
        <w:tc>
          <w:tcPr>
            <w:tcW w:type="dxa" w:w="3000"/>
          </w:tcPr>
          <w:p>
            <w:r>
              <w:rPr>
                <w:rFonts w:ascii="Courier New" w:cs="Courier New" w:eastAsia="Courier New" w:hAnsi="Courier New"/>
                <w:b w:val="false"/>
                <w:bCs w:val="false"/>
                <w:i w:val="false"/>
                <w:iCs w:val="false"/>
              </w:rPr>
              <w:t xml:space="preserve">criterio_contextual_grupo</w:t>
            </w:r>
            <w:r>
              <w:rPr>
                <w:b w:val="false"/>
                <w:bCs w:val="false"/>
                <w:i w:val="false"/>
                <w:iCs w:val="false"/>
              </w:rPr>
              <w:t xml:space="preserve"> (desglosado, relectura 2026-08-07)</w:t>
            </w:r>
          </w:p>
        </w:tc>
        <w:tc>
          <w:tcPr>
            <w:tcW w:type="dxa" w:w="3000"/>
          </w:tcPr>
          <w:p>
            <w:r>
              <w:rPr>
                <w:b w:val="false"/>
                <w:bCs w:val="false"/>
                <w:i w:val="false"/>
                <w:iCs w:val="false"/>
              </w:rPr>
              <w:t xml:space="preserve">Ver desglose abajo</w:t>
            </w:r>
          </w:p>
        </w:tc>
        <w:tc>
          <w:tcPr>
            <w:tcW w:type="dxa" w:w="3000"/>
          </w:tcPr>
          <w:p>
            <w:r>
              <w:rPr>
                <w:b w:val="false"/>
                <w:bCs w:val="false"/>
                <w:i w:val="false"/>
                <w:iCs w:val="false"/>
              </w:rPr>
              <w:t xml:space="preserve">El código paraguas en realidad mezclaba tres fenómenos distintos — ver </w:t>
            </w:r>
            <w:r>
              <w:rPr>
                <w:rFonts w:ascii="Courier New" w:cs="Courier New" w:eastAsia="Courier New" w:hAnsi="Courier New"/>
                <w:b w:val="false"/>
                <w:bCs w:val="false"/>
                <w:i w:val="false"/>
                <w:iCs w:val="false"/>
              </w:rPr>
              <w:t xml:space="preserve">relectura_ciclo_heterogeneidad.md</w:t>
            </w:r>
            <w:r>
              <w:rPr>
                <w:b w:val="false"/>
                <w:bCs w:val="false"/>
                <w:i w:val="false"/>
                <w:iCs w:val="false"/>
              </w:rPr>
              <w:t xml:space="preserve"> para el detalle completo y la corrección de una lectura previa demasiado apresurada</w:t>
            </w:r>
          </w:p>
        </w:tc>
      </w:tr>
      <w:tr>
        <w:tc>
          <w:tcPr>
            <w:tcW w:type="dxa" w:w="3000"/>
          </w:tcPr>
          <w:p>
            <w:r>
              <w:rPr>
                <w:b w:val="false"/>
                <w:bCs w:val="false"/>
                <w:i w:val="false"/>
                <w:iCs w:val="false"/>
              </w:rPr>
              <w:t xml:space="preserve">↳ </w:t>
            </w:r>
            <w:r>
              <w:rPr>
                <w:rFonts w:ascii="Courier New" w:cs="Courier New" w:eastAsia="Courier New" w:hAnsi="Courier New"/>
                <w:b w:val="false"/>
                <w:bCs w:val="false"/>
                <w:i w:val="false"/>
                <w:iCs w:val="false"/>
              </w:rPr>
              <w:t xml:space="preserve">criterio_etario_ciclo</w:t>
            </w:r>
            <w:r>
              <w:rPr>
                <w:b w:val="false"/>
                <w:bCs w:val="false"/>
                <w:i w:val="false"/>
                <w:iCs w:val="false"/>
              </w:rPr>
              <w:t xml:space="preserve"> (inductivo)</w:t>
            </w:r>
          </w:p>
        </w:tc>
        <w:tc>
          <w:tcPr>
            <w:tcW w:type="dxa" w:w="3000"/>
          </w:tcPr>
          <w:p>
            <w:r>
              <w:rPr>
                <w:b/>
                <w:bCs/>
                <w:i w:val="false"/>
                <w:iCs w:val="false"/>
              </w:rPr>
              <w:t xml:space="preserve">7/15, dividido: 4 exclusión (P1,P6,P9,P15) vs. 3 contra-instancia (P3,P4,P12)</w:t>
            </w:r>
          </w:p>
        </w:tc>
        <w:tc>
          <w:tcPr>
            <w:tcW w:type="dxa" w:w="3000"/>
          </w:tcPr>
          <w:p>
            <w:r>
              <w:rPr>
                <w:b/>
                <w:bCs/>
                <w:i w:val="false"/>
                <w:iCs w:val="false"/>
              </w:rPr>
              <w:t xml:space="preserve">Tensión real en el corpus, no consenso</w:t>
            </w:r>
            <w:r>
              <w:rPr>
                <w:b w:val="false"/>
                <w:bCs w:val="false"/>
                <w:i w:val="false"/>
                <w:iCs w:val="false"/>
              </w:rPr>
              <w:t xml:space="preserve"> — 4 participantes limitan/excluyen primer ciclo por edad; 3 rechazan explícitamente esa lógica (P4: </w:t>
            </w:r>
            <w:r>
              <w:rPr>
                <w:b w:val="false"/>
                <w:bCs w:val="false"/>
                <w:i/>
                <w:iCs/>
              </w:rPr>
              <w:t xml:space="preserve">"independientemente del grado"</w:t>
            </w:r>
            <w:r>
              <w:rPr>
                <w:b w:val="false"/>
                <w:bCs w:val="false"/>
                <w:i w:val="false"/>
                <w:iCs w:val="false"/>
              </w:rPr>
              <w:t xml:space="preserve">; P12: adapta con trabajo "desenchufado" en vez de excluir). Presentar como debate A/B en el Cap. 4, no como tendencia única</w:t>
            </w:r>
          </w:p>
        </w:tc>
      </w:tr>
      <w:tr>
        <w:tc>
          <w:tcPr>
            <w:tcW w:type="dxa" w:w="3000"/>
          </w:tcPr>
          <w:p>
            <w:r>
              <w:rPr>
                <w:b w:val="false"/>
                <w:bCs w:val="false"/>
                <w:i w:val="false"/>
                <w:iCs w:val="false"/>
              </w:rPr>
              <w:t xml:space="preserve">↳ </w:t>
            </w:r>
            <w:r>
              <w:rPr>
                <w:rFonts w:ascii="Courier New" w:cs="Courier New" w:eastAsia="Courier New" w:hAnsi="Courier New"/>
                <w:b w:val="false"/>
                <w:bCs w:val="false"/>
                <w:i w:val="false"/>
                <w:iCs w:val="false"/>
              </w:rPr>
              <w:t xml:space="preserve">criterio_heterogeneidad_competencias_grupo</w:t>
            </w:r>
            <w:r>
              <w:rPr>
                <w:b w:val="false"/>
                <w:bCs w:val="false"/>
                <w:i w:val="false"/>
                <w:iCs w:val="false"/>
              </w:rPr>
              <w:t xml:space="preserve"> (inductivo)</w:t>
            </w:r>
          </w:p>
        </w:tc>
        <w:tc>
          <w:tcPr>
            <w:tcW w:type="dxa" w:w="3000"/>
          </w:tcPr>
          <w:p>
            <w:r>
              <w:rPr>
                <w:b w:val="false"/>
                <w:bCs w:val="false"/>
                <w:i w:val="false"/>
                <w:iCs w:val="false"/>
              </w:rPr>
              <w:t xml:space="preserve">1/15 (P14)</w:t>
            </w:r>
          </w:p>
        </w:tc>
        <w:tc>
          <w:tcPr>
            <w:tcW w:type="dxa" w:w="3000"/>
          </w:tcPr>
          <w:p>
            <w:r>
              <w:rPr>
                <w:b w:val="false"/>
                <w:bCs w:val="false"/>
                <w:i w:val="false"/>
                <w:iCs w:val="false"/>
              </w:rPr>
              <w:t xml:space="preserve">Código delgado — diferencia de manejo técnico dentro de un mismo grado, distinto de ciclo. No forzar, reportar como está</w:t>
            </w:r>
          </w:p>
        </w:tc>
      </w:tr>
      <w:tr>
        <w:tc>
          <w:tcPr>
            <w:tcW w:type="dxa" w:w="3000"/>
          </w:tcPr>
          <w:p>
            <w:r>
              <w:rPr>
                <w:b w:val="false"/>
                <w:bCs w:val="false"/>
                <w:i w:val="false"/>
                <w:iCs w:val="false"/>
              </w:rPr>
              <w:t xml:space="preserve">↳ Adaptación a estudiante individual (P7, P8)</w:t>
            </w:r>
          </w:p>
        </w:tc>
        <w:tc>
          <w:tcPr>
            <w:tcW w:type="dxa" w:w="3000"/>
          </w:tcPr>
          <w:p>
            <w:r>
              <w:rPr>
                <w:b w:val="false"/>
                <w:bCs w:val="false"/>
                <w:i w:val="false"/>
                <w:iCs w:val="false"/>
              </w:rPr>
              <w:t xml:space="preserve">2/15</w:t>
            </w:r>
          </w:p>
        </w:tc>
        <w:tc>
          <w:tcPr>
            <w:tcW w:type="dxa" w:w="3000"/>
          </w:tcPr>
          <w:p>
            <w:r>
              <w:rPr>
                <w:b w:val="false"/>
                <w:bCs w:val="false"/>
                <w:i w:val="false"/>
                <w:iCs w:val="false"/>
              </w:rPr>
              <w:t xml:space="preserve">Ya cubierto por </w:t>
            </w:r>
            <w:r>
              <w:rPr>
                <w:rFonts w:ascii="Courier New" w:cs="Courier New" w:eastAsia="Courier New" w:hAnsi="Courier New"/>
                <w:b w:val="false"/>
                <w:bCs w:val="false"/>
                <w:i w:val="false"/>
                <w:iCs w:val="false"/>
              </w:rPr>
              <w:t xml:space="preserve">adaptacion_saberes_previos</w:t>
            </w:r>
            <w:r>
              <w:rPr>
                <w:b w:val="false"/>
                <w:bCs w:val="false"/>
                <w:i w:val="false"/>
                <w:iCs w:val="false"/>
              </w:rPr>
              <w:t xml:space="preserve"> (Núcleo 2) — no es ciclo ni heterogeneidad grupal, retirar del conteo de </w:t>
            </w:r>
            <w:r>
              <w:rPr>
                <w:rFonts w:ascii="Courier New" w:cs="Courier New" w:eastAsia="Courier New" w:hAnsi="Courier New"/>
                <w:b w:val="false"/>
                <w:bCs w:val="false"/>
                <w:i w:val="false"/>
                <w:iCs w:val="false"/>
              </w:rPr>
              <w:t xml:space="preserve">criterio_contextual_grupo</w:t>
            </w:r>
          </w:p>
        </w:tc>
      </w:tr>
      <w:tr>
        <w:tc>
          <w:tcPr>
            <w:tcW w:type="dxa" w:w="3000"/>
          </w:tcPr>
          <w:p>
            <w:r>
              <w:rPr>
                <w:rFonts w:ascii="Courier New" w:cs="Courier New" w:eastAsia="Courier New" w:hAnsi="Courier New"/>
                <w:b w:val="false"/>
                <w:bCs w:val="false"/>
                <w:i w:val="false"/>
                <w:iCs w:val="false"/>
              </w:rPr>
              <w:t xml:space="preserve">uso_iai_apoyo_administrativo</w:t>
            </w:r>
          </w:p>
        </w:tc>
        <w:tc>
          <w:tcPr>
            <w:tcW w:type="dxa" w:w="3000"/>
          </w:tcPr>
          <w:p>
            <w:r>
              <w:rPr>
                <w:b w:val="false"/>
                <w:bCs w:val="false"/>
                <w:i w:val="false"/>
                <w:iCs w:val="false"/>
              </w:rPr>
              <w:t xml:space="preserve">8/15 (P4,P5,P7,P8,P10,P13,P1,P14)</w:t>
            </w:r>
          </w:p>
        </w:tc>
        <w:tc>
          <w:tcPr>
            <w:tcW w:type="dxa" w:w="3000"/>
          </w:tcPr>
          <w:p>
            <w:r>
              <w:rPr>
                <w:b w:val="false"/>
                <w:bCs w:val="false"/>
                <w:i w:val="false"/>
                <w:iCs w:val="false"/>
              </w:rPr>
              <w:t xml:space="preserve">Incluye un caso híbrido (P1, proyecto para concurso Cooperar — entre gestión institucional y diseño de propuesta)</w:t>
            </w:r>
          </w:p>
        </w:tc>
      </w:tr>
      <w:tr>
        <w:tc>
          <w:tcPr>
            <w:tcW w:type="dxa" w:w="3000"/>
          </w:tcPr>
          <w:p>
            <w:r>
              <w:rPr>
                <w:rFonts w:ascii="Courier New" w:cs="Courier New" w:eastAsia="Courier New" w:hAnsi="Courier New"/>
                <w:b w:val="false"/>
                <w:bCs w:val="false"/>
                <w:i w:val="false"/>
                <w:iCs w:val="false"/>
              </w:rPr>
              <w:t xml:space="preserve">tension_autoria_impronta</w:t>
            </w:r>
          </w:p>
        </w:tc>
        <w:tc>
          <w:tcPr>
            <w:tcW w:type="dxa" w:w="3000"/>
          </w:tcPr>
          <w:p>
            <w:r>
              <w:rPr>
                <w:b w:val="false"/>
                <w:bCs w:val="false"/>
                <w:i w:val="false"/>
                <w:iCs w:val="false"/>
              </w:rPr>
              <w:t xml:space="preserve">4/15 (P9,P10,P1,P14)</w:t>
            </w:r>
          </w:p>
        </w:tc>
        <w:tc>
          <w:tcPr>
            <w:tcW w:type="dxa" w:w="3000"/>
          </w:tcPr>
          <w:p>
            <w:r>
              <w:rPr>
                <w:b w:val="false"/>
                <w:bCs w:val="false"/>
                <w:i w:val="false"/>
                <w:iCs w:val="false"/>
              </w:rPr>
              <w:t xml:space="preserve">Dos registros distintos: </w:t>
            </w:r>
            <w:r>
              <w:rPr>
                <w:b/>
                <w:bCs/>
                <w:i w:val="false"/>
                <w:iCs w:val="false"/>
              </w:rPr>
              <w:t xml:space="preserve">autorreferido</w:t>
            </w:r>
            <w:r>
              <w:rPr>
                <w:b w:val="false"/>
                <w:bCs w:val="false"/>
                <w:i w:val="false"/>
                <w:iCs w:val="false"/>
              </w:rPr>
              <w:t xml:space="preserve"> (P9, P10, P1 — sobre la propia práctica de planificación) vs. </w:t>
            </w:r>
            <w:r>
              <w:rPr>
                <w:b/>
                <w:bCs/>
                <w:i w:val="false"/>
                <w:iCs w:val="false"/>
              </w:rPr>
              <w:t xml:space="preserve">generalizado/filosófico</w:t>
            </w:r>
            <w:r>
              <w:rPr>
                <w:b w:val="false"/>
                <w:bCs w:val="false"/>
                <w:i w:val="false"/>
                <w:iCs w:val="false"/>
              </w:rPr>
              <w:t xml:space="preserve"> (P14 — sobre "lo humano" en general) — no tratarlos como intercambiables en el Cap. 4</w:t>
            </w:r>
          </w:p>
        </w:tc>
      </w:tr>
    </w:tbl>
    <w:p>
      <w:pPr>
        <w:spacing w:after="200"/>
      </w:pPr>
    </w:p>
    <w:p>
      <w:pPr>
        <w:spacing w:after="160"/>
      </w:pPr>
      <w:r>
        <w:rPr>
          <w:b/>
          <w:bCs/>
          <w:i w:val="false"/>
          <w:iCs w:val="false"/>
        </w:rPr>
        <w:t xml:space="preserve">Mejores citas:</w:t>
      </w:r>
    </w:p>
    <w:p>
      <w:pPr>
        <w:pStyle w:val="ListParagraph"/>
        <w:numPr>
          <w:ilvl w:val="0"/>
          <w:numId w:val="1"/>
        </w:numPr>
        <w:spacing w:after="80"/>
      </w:pPr>
      <w:r>
        <w:rPr>
          <w:b w:val="false"/>
          <w:bCs w:val="false"/>
          <w:i w:val="false"/>
          <w:iCs w:val="false"/>
        </w:rPr>
        <w:t xml:space="preserve">P4: </w:t>
      </w:r>
      <w:r>
        <w:rPr>
          <w:b w:val="false"/>
          <w:bCs w:val="false"/>
          <w:i/>
          <w:iCs/>
        </w:rPr>
        <w:t xml:space="preserve">"Que se ensamble de manera correcta, que tenga una funcionalidad que sume... preguntarme a mí misma para qué la estoy incluyendo"</w:t>
      </w:r>
      <w:r>
        <w:rPr>
          <w:b w:val="false"/>
          <w:bCs w:val="false"/>
          <w:i w:val="false"/>
          <w:iCs w:val="false"/>
        </w:rPr>
        <w:t xml:space="preserve"> [04:53] — formulación temprana y clara del criterio</w:t>
      </w:r>
    </w:p>
    <w:p>
      <w:pPr>
        <w:pStyle w:val="ListParagraph"/>
        <w:numPr>
          <w:ilvl w:val="0"/>
          <w:numId w:val="1"/>
        </w:numPr>
        <w:spacing w:after="80"/>
      </w:pPr>
      <w:r>
        <w:rPr>
          <w:b w:val="false"/>
          <w:bCs w:val="false"/>
          <w:i w:val="false"/>
          <w:iCs w:val="false"/>
        </w:rPr>
        <w:t xml:space="preserve">P14: </w:t>
      </w:r>
      <w:r>
        <w:rPr>
          <w:b w:val="false"/>
          <w:bCs w:val="false"/>
          <w:i/>
          <w:iCs/>
        </w:rPr>
        <w:t xml:space="preserve">"Tengo en cuenta que el recurso no sea el foco de la clase, sino más bien un recurso... el foco tiene que ser el contenido"</w:t>
      </w:r>
      <w:r>
        <w:rPr>
          <w:b w:val="false"/>
          <w:bCs w:val="false"/>
          <w:i w:val="false"/>
          <w:iCs w:val="false"/>
        </w:rPr>
        <w:t xml:space="preserve"> — la instancia más programática del corpus</w:t>
      </w:r>
    </w:p>
    <w:p>
      <w:pPr>
        <w:pStyle w:val="ListParagraph"/>
        <w:numPr>
          <w:ilvl w:val="0"/>
          <w:numId w:val="1"/>
        </w:numPr>
        <w:spacing w:after="80"/>
      </w:pPr>
      <w:r>
        <w:rPr>
          <w:b w:val="false"/>
          <w:bCs w:val="false"/>
          <w:i w:val="false"/>
          <w:iCs w:val="false"/>
        </w:rPr>
        <w:t xml:space="preserve">P15: </w:t>
      </w:r>
      <w:r>
        <w:rPr>
          <w:b w:val="false"/>
          <w:bCs w:val="false"/>
          <w:i/>
          <w:iCs/>
        </w:rPr>
        <w:t xml:space="preserve">"Doble estructura: uno que ellos creen un cuento, después que la IA cree otro... si no, la creación queda sesgada"</w:t>
      </w:r>
      <w:r>
        <w:rPr>
          <w:b w:val="false"/>
          <w:bCs w:val="false"/>
          <w:i w:val="false"/>
          <w:iCs w:val="false"/>
        </w:rPr>
        <w:t xml:space="preserve"> [09:01] — diseño didáctico concreto anti-sustitución, muy citable</w:t>
      </w:r>
    </w:p>
    <w:p>
      <w:pPr>
        <w:pStyle w:val="ListParagraph"/>
        <w:numPr>
          <w:ilvl w:val="0"/>
          <w:numId w:val="1"/>
        </w:numPr>
        <w:spacing w:after="80"/>
      </w:pPr>
      <w:r>
        <w:rPr>
          <w:b w:val="false"/>
          <w:bCs w:val="false"/>
          <w:i w:val="false"/>
          <w:iCs w:val="false"/>
        </w:rPr>
        <w:t xml:space="preserve">P10: </w:t>
      </w:r>
      <w:r>
        <w:rPr>
          <w:b w:val="false"/>
          <w:bCs w:val="false"/>
          <w:i/>
          <w:iCs/>
        </w:rPr>
        <w:t xml:space="preserve">"A mí me gusta que la planificación tenga mi impronta... si no me apropio, no lo doy bien"</w:t>
      </w:r>
      <w:r>
        <w:rPr>
          <w:b w:val="false"/>
          <w:bCs w:val="false"/>
          <w:i w:val="false"/>
          <w:iCs w:val="false"/>
        </w:rPr>
        <w:t xml:space="preserve"> pero a la vez </w:t>
      </w:r>
      <w:r>
        <w:rPr>
          <w:b w:val="false"/>
          <w:bCs w:val="false"/>
          <w:i/>
          <w:iCs/>
        </w:rPr>
        <w:t xml:space="preserve">"es como mi secretaria"</w:t>
      </w:r>
      <w:r>
        <w:rPr>
          <w:b w:val="false"/>
          <w:bCs w:val="false"/>
          <w:i w:val="false"/>
          <w:iCs w:val="false"/>
        </w:rPr>
        <w:t xml:space="preserve"> [13:46] — la instancia más fuerte y rica de </w:t>
      </w:r>
      <w:r>
        <w:rPr>
          <w:rFonts w:ascii="Courier New" w:cs="Courier New" w:eastAsia="Courier New" w:hAnsi="Courier New"/>
          <w:b w:val="false"/>
          <w:bCs w:val="false"/>
          <w:i w:val="false"/>
          <w:iCs w:val="false"/>
        </w:rPr>
        <w:t xml:space="preserve">tension_autoria_impronta</w:t>
      </w:r>
      <w:r>
        <w:rPr>
          <w:b w:val="false"/>
          <w:bCs w:val="false"/>
          <w:i w:val="false"/>
          <w:iCs w:val="false"/>
        </w:rPr>
        <w:t xml:space="preserve">: alto uso y tensión de autoría </w:t>
      </w:r>
      <w:r>
        <w:rPr>
          <w:b/>
          <w:bCs/>
          <w:i w:val="false"/>
          <w:iCs w:val="false"/>
        </w:rPr>
        <w:t xml:space="preserve">coexisten</w:t>
      </w:r>
      <w:r>
        <w:rPr>
          <w:b w:val="false"/>
          <w:bCs w:val="false"/>
          <w:i w:val="false"/>
          <w:iCs w:val="false"/>
        </w:rPr>
        <w:t xml:space="preserve">, no se excluyen</w:t>
      </w:r>
    </w:p>
    <w:p>
      <w:pPr>
        <w:pStyle w:val="ListParagraph"/>
        <w:numPr>
          <w:ilvl w:val="0"/>
          <w:numId w:val="1"/>
        </w:numPr>
        <w:spacing w:after="80"/>
      </w:pPr>
      <w:r>
        <w:rPr>
          <w:b w:val="false"/>
          <w:bCs w:val="false"/>
          <w:i w:val="false"/>
          <w:iCs w:val="false"/>
        </w:rPr>
        <w:t xml:space="preserve">P9: rechaza usar una carta de despedida generada por IA aunque "era perfecta" — </w:t>
      </w:r>
      <w:r>
        <w:rPr>
          <w:b w:val="false"/>
          <w:bCs w:val="false"/>
          <w:i/>
          <w:iCs/>
        </w:rPr>
        <w:t xml:space="preserve">"yo la quiero hacer, yo... lo que yo siento"</w:t>
      </w:r>
      <w:r>
        <w:rPr>
          <w:b w:val="false"/>
          <w:bCs w:val="false"/>
          <w:i w:val="false"/>
          <w:iCs w:val="false"/>
        </w:rPr>
        <w:t xml:space="preserve"> [13:22]</w:t>
      </w:r>
    </w:p>
    <w:p>
      <w:pPr>
        <w:pStyle w:val="ListParagraph"/>
        <w:numPr>
          <w:ilvl w:val="0"/>
          <w:numId w:val="1"/>
        </w:numPr>
        <w:spacing w:after="80"/>
      </w:pPr>
      <w:r>
        <w:rPr>
          <w:b w:val="false"/>
          <w:bCs w:val="false"/>
          <w:i w:val="false"/>
          <w:iCs w:val="false"/>
        </w:rPr>
        <w:t xml:space="preserve">P12: </w:t>
      </w:r>
      <w:r>
        <w:rPr>
          <w:b w:val="false"/>
          <w:bCs w:val="false"/>
          <w:i/>
          <w:iCs/>
        </w:rPr>
        <w:t xml:space="preserve">"Si es realmente fructífero, si tiene sentido aplicar la tecnología o es solo para un adorno"</w:t>
      </w:r>
      <w:r>
        <w:rPr>
          <w:b w:val="false"/>
          <w:bCs w:val="false"/>
          <w:i w:val="false"/>
          <w:iCs w:val="false"/>
        </w:rPr>
        <w:t xml:space="preserve"> [05:00]</w:t>
      </w:r>
    </w:p>
    <w:p>
      <w:pPr>
        <w:spacing w:after="160"/>
      </w:pPr>
      <w:r>
        <w:rPr>
          <w:b/>
          <w:bCs/>
          <w:i w:val="false"/>
          <w:iCs w:val="false"/>
        </w:rPr>
        <w:t xml:space="preserve">Caso negativo/desviante a nombrar:</w:t>
      </w:r>
      <w:r>
        <w:rPr>
          <w:b w:val="false"/>
          <w:bCs w:val="false"/>
          <w:i w:val="false"/>
          <w:iCs w:val="false"/>
        </w:rPr>
        <w:t xml:space="preserve"> P15 no tiene ninguna instancia de </w:t>
      </w:r>
      <w:r>
        <w:rPr>
          <w:rFonts w:ascii="Courier New" w:cs="Courier New" w:eastAsia="Courier New" w:hAnsi="Courier New"/>
          <w:b w:val="false"/>
          <w:bCs w:val="false"/>
          <w:i w:val="false"/>
          <w:iCs w:val="false"/>
        </w:rPr>
        <w:t xml:space="preserve">uso_iai_apoyo_administrativo</w:t>
      </w:r>
      <w:r>
        <w:rPr>
          <w:b w:val="false"/>
          <w:bCs w:val="false"/>
          <w:i w:val="false"/>
          <w:iCs w:val="false"/>
        </w:rPr>
        <w:t xml:space="preserve"> ni </w:t>
      </w:r>
      <w:r>
        <w:rPr>
          <w:rFonts w:ascii="Courier New" w:cs="Courier New" w:eastAsia="Courier New" w:hAnsi="Courier New"/>
          <w:b w:val="false"/>
          <w:bCs w:val="false"/>
          <w:i w:val="false"/>
          <w:iCs w:val="false"/>
        </w:rPr>
        <w:t xml:space="preserve">tension_autoria_impronta</w:t>
      </w:r>
      <w:r>
        <w:rPr>
          <w:b w:val="false"/>
          <w:bCs w:val="false"/>
          <w:i w:val="false"/>
          <w:iCs w:val="false"/>
        </w:rPr>
        <w:t xml:space="preserve"> — pero (confirmado por la investigadora) es porque </w:t>
      </w:r>
      <w:r>
        <w:rPr>
          <w:b/>
          <w:bCs/>
          <w:i w:val="false"/>
          <w:iCs w:val="false"/>
        </w:rPr>
        <w:t xml:space="preserve">no se indagó específicamente</w:t>
      </w:r>
      <w:r>
        <w:rPr>
          <w:b w:val="false"/>
          <w:bCs w:val="false"/>
          <w:i w:val="false"/>
          <w:iCs w:val="false"/>
        </w:rPr>
        <w:t xml:space="preserve"> en esa dirección, no porque el fenómeno esté ausente en su caso. </w:t>
      </w:r>
      <w:r>
        <w:rPr>
          <w:b/>
          <w:bCs/>
          <w:i w:val="false"/>
          <w:iCs w:val="false"/>
        </w:rPr>
        <w:t xml:space="preserve">No incluir a P15 en el denominador de estos dos códigos específicos</w:t>
      </w:r>
      <w:r>
        <w:rPr>
          <w:b w:val="false"/>
          <w:bCs w:val="false"/>
          <w:i w:val="false"/>
          <w:iCs w:val="false"/>
        </w:rPr>
        <w:t xml:space="preserve"> al reportar frecuencias (ver </w:t>
      </w:r>
      <w:r>
        <w:rPr>
          <w:rFonts w:ascii="Courier New" w:cs="Courier New" w:eastAsia="Courier New" w:hAnsi="Courier New"/>
          <w:b w:val="false"/>
          <w:bCs w:val="false"/>
          <w:i w:val="false"/>
          <w:iCs w:val="false"/>
        </w:rPr>
        <w:t xml:space="preserve">codificacion_P15.md</w:t>
      </w:r>
      <w:r>
        <w:rPr>
          <w:b w:val="false"/>
          <w:bCs w:val="false"/>
          <w:i w:val="false"/>
          <w:iCs w:val="false"/>
        </w:rPr>
        <w:t xml:space="preserve"> §6, punto 3).</w:t>
      </w:r>
    </w:p>
    <w:p>
      <w:pPr>
        <w:pBdr>
          <w:bottom w:val="single" w:color="auto" w:sz="6" w:space="1"/>
        </w:pBdr>
        <w:spacing w:after="200"/>
      </w:pPr>
    </w:p>
    <w:p>
      <w:pPr>
        <w:pStyle w:val="Heading2"/>
        <w:spacing w:after="120" w:before="240"/>
      </w:pPr>
      <w:r>
        <w:rPr>
          <w:b w:val="false"/>
          <w:bCs w:val="false"/>
          <w:i w:val="false"/>
          <w:iCs w:val="false"/>
        </w:rPr>
        <w:t xml:space="preserve">4.5 — Imaginarios sociotécnicos rastreados en el discurso docente (eco institucional vs. voz propia)</w:t>
      </w:r>
    </w:p>
    <w:p>
      <w:pPr>
        <w:spacing w:after="160"/>
      </w:pPr>
      <w:r>
        <w:rPr>
          <w:b/>
          <w:bCs/>
          <w:i w:val="false"/>
          <w:iCs w:val="false"/>
        </w:rPr>
        <w:t xml:space="preserve">Núcleo que alimenta:</w:t>
      </w:r>
      <w:r>
        <w:rPr>
          <w:b w:val="false"/>
          <w:bCs w:val="false"/>
          <w:i w:val="false"/>
          <w:iCs w:val="false"/>
        </w:rPr>
        <w:t xml:space="preserve"> Núcleo 4. </w:t>
      </w:r>
      <w:r>
        <w:rPr>
          <w:b/>
          <w:bCs/>
          <w:i w:val="false"/>
          <w:iCs w:val="false"/>
        </w:rPr>
        <w:t xml:space="preserve">Sección transversal</w:t>
      </w:r>
      <w:r>
        <w:rPr>
          <w:b w:val="false"/>
          <w:bCs w:val="false"/>
          <w:i w:val="false"/>
          <w:iCs w:val="false"/>
        </w:rPr>
        <w:t xml:space="preserve"> — cruza los cuatro ejes anteriores, no es un quinto eje paralelo (Cap. 3, §3.5).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2C5" w:val="clear"/>
          </w:tcPr>
          <w:p>
            <w:r>
              <w:rPr>
                <w:b w:val="false"/>
                <w:bCs w:val="false"/>
                <w:i w:val="false"/>
                <w:iCs w:val="false"/>
              </w:rPr>
              <w:t xml:space="preserve">Código</w:t>
            </w:r>
          </w:p>
        </w:tc>
        <w:tc>
          <w:tcPr>
            <w:tcW w:type="dxa" w:w="3000"/>
            <w:shd w:fill="D9D2C5" w:val="clear"/>
          </w:tcPr>
          <w:p>
            <w:r>
              <w:rPr>
                <w:b w:val="false"/>
                <w:bCs w:val="false"/>
                <w:i w:val="false"/>
                <w:iCs w:val="false"/>
              </w:rPr>
              <w:t xml:space="preserve">Frecuencia</w:t>
            </w:r>
          </w:p>
        </w:tc>
        <w:tc>
          <w:tcPr>
            <w:tcW w:type="dxa" w:w="3000"/>
            <w:shd w:fill="D9D2C5" w:val="clear"/>
          </w:tcPr>
          <w:p>
            <w:r>
              <w:rPr>
                <w:b w:val="false"/>
                <w:bCs w:val="false"/>
                <w:i w:val="false"/>
                <w:iCs w:val="false"/>
              </w:rPr>
              <w:t xml:space="preserve">Lectura</w:t>
            </w:r>
          </w:p>
        </w:tc>
      </w:tr>
      <w:tr>
        <w:tc>
          <w:tcPr>
            <w:tcW w:type="dxa" w:w="3000"/>
          </w:tcPr>
          <w:p>
            <w:r>
              <w:rPr>
                <w:rFonts w:ascii="Courier New" w:cs="Courier New" w:eastAsia="Courier New" w:hAnsi="Courier New"/>
                <w:b w:val="false"/>
                <w:bCs w:val="false"/>
                <w:i w:val="false"/>
                <w:iCs w:val="false"/>
              </w:rPr>
              <w:t xml:space="preserve">eco_discurso_institucional</w:t>
            </w:r>
          </w:p>
        </w:tc>
        <w:tc>
          <w:tcPr>
            <w:tcW w:type="dxa" w:w="3000"/>
          </w:tcPr>
          <w:p>
            <w:r>
              <w:rPr>
                <w:b w:val="false"/>
                <w:bCs w:val="false"/>
                <w:i w:val="false"/>
                <w:iCs w:val="false"/>
              </w:rPr>
              <w:t xml:space="preserve">8/15 (P2,P3,P5,P6,P8,P13,P15,P14)</w:t>
            </w:r>
          </w:p>
        </w:tc>
        <w:tc>
          <w:tcPr>
            <w:tcW w:type="dxa" w:w="3000"/>
          </w:tcPr>
          <w:p>
            <w:r>
              <w:rPr>
                <w:b w:val="false"/>
                <w:bCs w:val="false"/>
                <w:i w:val="false"/>
                <w:iCs w:val="false"/>
              </w:rPr>
              <w:t xml:space="preserve">P1 queda como </w:t>
            </w:r>
            <w:r>
              <w:rPr>
                <w:b/>
                <w:bCs/>
                <w:i w:val="false"/>
                <w:iCs w:val="false"/>
              </w:rPr>
              <w:t xml:space="preserve">caso borderline, no incluido en el conteo</w:t>
            </w:r>
            <w:r>
              <w:rPr>
                <w:b w:val="false"/>
                <w:bCs w:val="false"/>
                <w:i w:val="false"/>
                <w:iCs w:val="false"/>
              </w:rPr>
              <w:t xml:space="preserve"> — pedido de "capacitaciones específicas" tensiona hacia el marcador de "formación continua" pero con tono de reclamo, no de eco — decisión de la investigadora pendiente de reconfirmar en el Cap. 4</w:t>
            </w:r>
          </w:p>
        </w:tc>
      </w:tr>
      <w:tr>
        <w:tc>
          <w:tcPr>
            <w:tcW w:type="dxa" w:w="3000"/>
          </w:tcPr>
          <w:p>
            <w:r>
              <w:rPr>
                <w:rFonts w:ascii="Courier New" w:cs="Courier New" w:eastAsia="Courier New" w:hAnsi="Courier New"/>
                <w:b w:val="false"/>
                <w:bCs w:val="false"/>
                <w:i w:val="false"/>
                <w:iCs w:val="false"/>
              </w:rPr>
              <w:t xml:space="preserve">voz_experiencial_propia</w:t>
            </w:r>
          </w:p>
        </w:tc>
        <w:tc>
          <w:tcPr>
            <w:tcW w:type="dxa" w:w="3000"/>
          </w:tcPr>
          <w:p>
            <w:r>
              <w:rPr>
                <w:b/>
                <w:bCs/>
                <w:i w:val="false"/>
                <w:iCs w:val="false"/>
              </w:rPr>
              <w:t xml:space="preserve">15/15 — universal, sin excepciones en el corpus completo</w:t>
            </w:r>
          </w:p>
        </w:tc>
        <w:tc>
          <w:tcPr>
            <w:tcW w:type="dxa" w:w="3000"/>
          </w:tcPr>
          <w:p>
            <w:r>
              <w:rPr>
                <w:b w:val="false"/>
                <w:bCs w:val="false"/>
                <w:i w:val="false"/>
                <w:iCs w:val="false"/>
              </w:rPr>
              <w:t xml:space="preserve">Hallazgo cerrado: todas las docentes anclan al menos parte de su representación en experiencia propia</w:t>
            </w:r>
          </w:p>
        </w:tc>
      </w:tr>
      <w:tr>
        <w:tc>
          <w:tcPr>
            <w:tcW w:type="dxa" w:w="3000"/>
          </w:tcPr>
          <w:p>
            <w:r>
              <w:rPr>
                <w:rFonts w:ascii="Courier New" w:cs="Courier New" w:eastAsia="Courier New" w:hAnsi="Courier New"/>
                <w:b w:val="false"/>
                <w:bCs w:val="false"/>
                <w:i w:val="false"/>
                <w:iCs w:val="false"/>
              </w:rPr>
              <w:t xml:space="preserve">eco_imaginario_mercantil_mediatico</w:t>
            </w:r>
          </w:p>
        </w:tc>
        <w:tc>
          <w:tcPr>
            <w:tcW w:type="dxa" w:w="3000"/>
          </w:tcPr>
          <w:p>
            <w:r>
              <w:rPr>
                <w:b w:val="false"/>
                <w:bCs w:val="false"/>
                <w:i w:val="false"/>
                <w:iCs w:val="false"/>
              </w:rPr>
              <w:t xml:space="preserve">1/15 (P1)</w:t>
            </w:r>
          </w:p>
        </w:tc>
        <w:tc>
          <w:tcPr>
            <w:tcW w:type="dxa" w:w="3000"/>
          </w:tcPr>
          <w:p>
            <w:r>
              <w:rPr>
                <w:b w:val="false"/>
                <w:bCs w:val="false"/>
                <w:i w:val="false"/>
                <w:iCs w:val="false"/>
              </w:rPr>
              <w:t xml:space="preserve">Ver nota en §4.2</w:t>
            </w:r>
          </w:p>
        </w:tc>
      </w:tr>
      <w:tr>
        <w:tc>
          <w:tcPr>
            <w:tcW w:type="dxa" w:w="3000"/>
          </w:tcPr>
          <w:p>
            <w:r>
              <w:rPr>
                <w:rFonts w:ascii="Courier New" w:cs="Courier New" w:eastAsia="Courier New" w:hAnsi="Courier New"/>
                <w:b w:val="false"/>
                <w:bCs w:val="false"/>
                <w:i w:val="false"/>
                <w:iCs w:val="false"/>
              </w:rPr>
              <w:t xml:space="preserve">imaginario_inevitabilidad_tecnologica</w:t>
            </w:r>
          </w:p>
        </w:tc>
        <w:tc>
          <w:tcPr>
            <w:tcW w:type="dxa" w:w="3000"/>
          </w:tcPr>
          <w:p>
            <w:r>
              <w:rPr>
                <w:b w:val="false"/>
                <w:bCs w:val="false"/>
                <w:i w:val="false"/>
                <w:iCs w:val="false"/>
              </w:rPr>
              <w:t xml:space="preserve">11/15, con variación rica: afirmativo (P4,P5,P12,P14), matizado/condicional (P3,P7), contra-instancia fuerte (P8), escéptico de la narrativa "generalizada" (P13), contingente/sin definir (P9), relativizador ("es una moda", P15)</w:t>
            </w:r>
          </w:p>
        </w:tc>
        <w:tc>
          <w:tcPr>
            <w:tcW w:type="dxa" w:w="3000"/>
          </w:tcPr>
          <w:p>
            <w:r>
              <w:rPr>
                <w:b/>
                <w:bCs/>
                <w:i w:val="false"/>
                <w:iCs w:val="false"/>
              </w:rPr>
              <w:t xml:space="preserve">El código con mejor rendimiento discriminante del corpus</w:t>
            </w:r>
            <w:r>
              <w:rPr>
                <w:b w:val="false"/>
                <w:bCs w:val="false"/>
                <w:i w:val="false"/>
                <w:iCs w:val="false"/>
              </w:rPr>
              <w:t xml:space="preserve"> — cubre todo el espectro de posturas posibles</w:t>
            </w:r>
          </w:p>
        </w:tc>
      </w:tr>
      <w:tr>
        <w:tc>
          <w:tcPr>
            <w:tcW w:type="dxa" w:w="3000"/>
          </w:tcPr>
          <w:p>
            <w:r>
              <w:rPr>
                <w:rFonts w:ascii="Courier New" w:cs="Courier New" w:eastAsia="Courier New" w:hAnsi="Courier New"/>
                <w:b w:val="false"/>
                <w:bCs w:val="false"/>
                <w:i w:val="false"/>
                <w:iCs w:val="false"/>
              </w:rPr>
              <w:t xml:space="preserve">imaginario_desigualdad_estructural</w:t>
            </w:r>
          </w:p>
        </w:tc>
        <w:tc>
          <w:tcPr>
            <w:tcW w:type="dxa" w:w="3000"/>
          </w:tcPr>
          <w:p>
            <w:r>
              <w:rPr>
                <w:b w:val="false"/>
                <w:bCs w:val="false"/>
                <w:i w:val="false"/>
                <w:iCs w:val="false"/>
              </w:rPr>
              <w:t xml:space="preserve">5/15 (P7,P8,P10,P11,P13)</w:t>
            </w:r>
          </w:p>
        </w:tc>
        <w:tc>
          <w:tcPr>
            <w:tcW w:type="dxa" w:w="3000"/>
          </w:tcPr>
          <w:p>
            <w:r>
              <w:rPr>
                <w:b w:val="false"/>
                <w:bCs w:val="false"/>
                <w:i w:val="false"/>
                <w:iCs w:val="false"/>
              </w:rPr>
              <w:t xml:space="preserve">Ver §4.2</w:t>
            </w:r>
          </w:p>
        </w:tc>
      </w:tr>
      <w:tr>
        <w:tc>
          <w:tcPr>
            <w:tcW w:type="dxa" w:w="3000"/>
          </w:tcPr>
          <w:p>
            <w:r>
              <w:rPr>
                <w:rFonts w:ascii="Courier New" w:cs="Courier New" w:eastAsia="Courier New" w:hAnsi="Courier New"/>
                <w:b w:val="false"/>
                <w:bCs w:val="false"/>
                <w:i w:val="false"/>
                <w:iCs w:val="false"/>
              </w:rPr>
              <w:t xml:space="preserve">imaginario_rol_docente_futuro</w:t>
            </w:r>
          </w:p>
        </w:tc>
        <w:tc>
          <w:tcPr>
            <w:tcW w:type="dxa" w:w="3000"/>
          </w:tcPr>
          <w:p>
            <w:r>
              <w:rPr>
                <w:b w:val="false"/>
                <w:bCs w:val="false"/>
                <w:i w:val="false"/>
                <w:iCs w:val="false"/>
              </w:rPr>
              <w:t xml:space="preserve">10/15 (P3,P5,P6,P8,P9,P10,P12,P13,P15,P14)</w:t>
            </w:r>
          </w:p>
        </w:tc>
        <w:tc>
          <w:tcPr>
            <w:tcW w:type="dxa" w:w="3000"/>
          </w:tcPr>
          <w:p>
            <w:r>
              <w:rPr>
                <w:b w:val="false"/>
                <w:bCs w:val="false"/>
                <w:i w:val="false"/>
                <w:iCs w:val="false"/>
              </w:rPr>
              <w:t xml:space="preserve">Rico en variación: desde rechazo explícito de reemplazo (P5, P8, P15) hasta reformulación del rol (P9, P14)</w:t>
            </w:r>
          </w:p>
        </w:tc>
      </w:tr>
    </w:tbl>
    <w:p>
      <w:pPr>
        <w:spacing w:after="200"/>
      </w:pPr>
    </w:p>
    <w:p>
      <w:pPr>
        <w:spacing w:after="160"/>
      </w:pPr>
      <w:r>
        <w:rPr>
          <w:b/>
          <w:bCs/>
          <w:i w:val="false"/>
          <w:iCs w:val="false"/>
        </w:rPr>
        <w:t xml:space="preserve">Marcadores institucionales rastreados con precisión (auditoría, per Cap. 3 §3.5, paso 4):</w:t>
      </w:r>
    </w:p>
    <w:p>
      <w:pPr>
        <w:pStyle w:val="ListParagraph"/>
        <w:numPr>
          <w:ilvl w:val="0"/>
          <w:numId w:val="1"/>
        </w:numPr>
        <w:spacing w:after="80"/>
      </w:pPr>
      <w:r>
        <w:rPr>
          <w:b w:val="false"/>
          <w:bCs w:val="false"/>
          <w:i w:val="false"/>
          <w:iCs w:val="false"/>
        </w:rPr>
        <w:t xml:space="preserve">"formación continua/capacitación" — P2 [10:40], P3 [16:48, 18:49], P4 [16:14], P15 [13:49]</w:t>
      </w:r>
    </w:p>
    <w:p>
      <w:pPr>
        <w:pStyle w:val="ListParagraph"/>
        <w:numPr>
          <w:ilvl w:val="0"/>
          <w:numId w:val="1"/>
        </w:numPr>
        <w:spacing w:after="80"/>
      </w:pPr>
      <w:r>
        <w:rPr>
          <w:b w:val="false"/>
          <w:bCs w:val="false"/>
          <w:i w:val="false"/>
          <w:iCs w:val="false"/>
        </w:rPr>
        <w:t xml:space="preserve">"pensamiento crítico"/4C (Guía CABA p.5) — P15 [08:05, 20:28], P14 (dos instancias, sobre sesgos y sobre el legado al estudiante)</w:t>
      </w:r>
    </w:p>
    <w:p>
      <w:pPr>
        <w:pStyle w:val="ListParagraph"/>
        <w:numPr>
          <w:ilvl w:val="0"/>
          <w:numId w:val="1"/>
        </w:numPr>
        <w:spacing w:after="80"/>
      </w:pPr>
      <w:r>
        <w:rPr>
          <w:b w:val="false"/>
          <w:bCs w:val="false"/>
          <w:i w:val="false"/>
          <w:iCs w:val="false"/>
        </w:rPr>
        <w:t xml:space="preserve">"sesgos/alucinaciones" (Guía Nación p.8, glosario Guía CABA) — P14 ("ver si hay sesgos, ver el tema del prompteo")</w:t>
      </w:r>
    </w:p>
    <w:p>
      <w:pPr>
        <w:pStyle w:val="ListParagraph"/>
        <w:numPr>
          <w:ilvl w:val="0"/>
          <w:numId w:val="1"/>
        </w:numPr>
        <w:spacing w:after="80"/>
      </w:pPr>
      <w:r>
        <w:rPr>
          <w:b w:val="false"/>
          <w:bCs w:val="false"/>
          <w:i w:val="false"/>
          <w:iCs w:val="false"/>
        </w:rPr>
        <w:t xml:space="preserve">"educación digital como área transversal" (diseño curricular) — P6 [27:26]</w:t>
      </w:r>
    </w:p>
    <w:p>
      <w:pPr>
        <w:spacing w:after="160"/>
      </w:pPr>
      <w:r>
        <w:rPr>
          <w:b/>
          <w:bCs/>
          <w:i w:val="false"/>
          <w:iCs w:val="false"/>
        </w:rPr>
        <w:t xml:space="preserve">Mejores citas — inevitabilidad (espectro completo, listo para tabla del Cap. 4):</w:t>
      </w:r>
    </w:p>
    <w:p>
      <w:pPr>
        <w:pStyle w:val="ListParagraph"/>
        <w:numPr>
          <w:ilvl w:val="0"/>
          <w:numId w:val="1"/>
        </w:numPr>
        <w:spacing w:after="80"/>
      </w:pPr>
      <w:r>
        <w:rPr>
          <w:b w:val="false"/>
          <w:bCs w:val="false"/>
          <w:i w:val="false"/>
          <w:iCs w:val="false"/>
        </w:rPr>
        <w:t xml:space="preserve">Afirmativo: P4 </w:t>
      </w:r>
      <w:r>
        <w:rPr>
          <w:b w:val="false"/>
          <w:bCs w:val="false"/>
          <w:i/>
          <w:iCs/>
        </w:rPr>
        <w:t xml:space="preserve">"va a ser parte de nuestras vidas más que nunca"</w:t>
      </w:r>
      <w:r>
        <w:rPr>
          <w:b w:val="false"/>
          <w:bCs w:val="false"/>
          <w:i w:val="false"/>
          <w:iCs w:val="false"/>
        </w:rPr>
        <w:t xml:space="preserve"> [15:45]; P12 </w:t>
      </w:r>
      <w:r>
        <w:rPr>
          <w:b w:val="false"/>
          <w:bCs w:val="false"/>
          <w:i/>
          <w:iCs/>
        </w:rPr>
        <w:t xml:space="preserve">"es como que de repente digamos que no se use la energía eléctrica... ya está instalado"</w:t>
      </w:r>
      <w:r>
        <w:rPr>
          <w:b w:val="false"/>
          <w:bCs w:val="false"/>
          <w:i w:val="false"/>
          <w:iCs w:val="false"/>
        </w:rPr>
        <w:t xml:space="preserve"> [26:11]; P14 </w:t>
      </w:r>
      <w:r>
        <w:rPr>
          <w:b w:val="false"/>
          <w:bCs w:val="false"/>
          <w:i/>
          <w:iCs/>
        </w:rPr>
        <w:t xml:space="preserve">"va a ser competencia de todos"</w:t>
      </w:r>
    </w:p>
    <w:p>
      <w:pPr>
        <w:pStyle w:val="ListParagraph"/>
        <w:numPr>
          <w:ilvl w:val="0"/>
          <w:numId w:val="1"/>
        </w:numPr>
        <w:spacing w:after="80"/>
      </w:pPr>
      <w:r>
        <w:rPr>
          <w:b w:val="false"/>
          <w:bCs w:val="false"/>
          <w:i w:val="false"/>
          <w:iCs w:val="false"/>
        </w:rPr>
        <w:t xml:space="preserve">Matizado: P3 </w:t>
      </w:r>
      <w:r>
        <w:rPr>
          <w:b w:val="false"/>
          <w:bCs w:val="false"/>
          <w:i/>
          <w:iCs/>
        </w:rPr>
        <w:t xml:space="preserve">"puede llegar a empeorar si el docente no se capacita"</w:t>
      </w:r>
      <w:r>
        <w:rPr>
          <w:b w:val="false"/>
          <w:bCs w:val="false"/>
          <w:i w:val="false"/>
          <w:iCs w:val="false"/>
        </w:rPr>
        <w:t xml:space="preserve"> [16:27]</w:t>
      </w:r>
    </w:p>
    <w:p>
      <w:pPr>
        <w:pStyle w:val="ListParagraph"/>
        <w:numPr>
          <w:ilvl w:val="0"/>
          <w:numId w:val="1"/>
        </w:numPr>
        <w:spacing w:after="80"/>
      </w:pPr>
      <w:r>
        <w:rPr>
          <w:b w:val="false"/>
          <w:bCs w:val="false"/>
          <w:i w:val="false"/>
          <w:iCs w:val="false"/>
        </w:rPr>
        <w:t xml:space="preserve">Contra-instancia: P8 </w:t>
      </w:r>
      <w:r>
        <w:rPr>
          <w:b w:val="false"/>
          <w:bCs w:val="false"/>
          <w:i/>
          <w:iCs/>
        </w:rPr>
        <w:t xml:space="preserve">"no, no creo que cambie... para mí no va a cambiar nada"</w:t>
      </w:r>
      <w:r>
        <w:rPr>
          <w:b w:val="false"/>
          <w:bCs w:val="false"/>
          <w:i w:val="false"/>
          <w:iCs w:val="false"/>
        </w:rPr>
        <w:t xml:space="preserve"> [25:24]</w:t>
      </w:r>
    </w:p>
    <w:p>
      <w:pPr>
        <w:pStyle w:val="ListParagraph"/>
        <w:numPr>
          <w:ilvl w:val="0"/>
          <w:numId w:val="1"/>
        </w:numPr>
        <w:spacing w:after="80"/>
      </w:pPr>
      <w:r>
        <w:rPr>
          <w:b w:val="false"/>
          <w:bCs w:val="false"/>
          <w:i w:val="false"/>
          <w:iCs w:val="false"/>
        </w:rPr>
        <w:t xml:space="preserve">Escéptico de la narrativa: P13 </w:t>
      </w:r>
      <w:r>
        <w:rPr>
          <w:b w:val="false"/>
          <w:bCs w:val="false"/>
          <w:i/>
          <w:iCs/>
        </w:rPr>
        <w:t xml:space="preserve">"mi preocupación no radica tanto en la posibilidad tan generalizada que se dice... me preocupa el desconocimiento acerca de su funcionamiento"</w:t>
      </w:r>
      <w:r>
        <w:rPr>
          <w:b w:val="false"/>
          <w:bCs w:val="false"/>
          <w:i w:val="false"/>
          <w:iCs w:val="false"/>
        </w:rPr>
        <w:t xml:space="preserve"> [15:47]</w:t>
      </w:r>
    </w:p>
    <w:p>
      <w:pPr>
        <w:pStyle w:val="ListParagraph"/>
        <w:numPr>
          <w:ilvl w:val="0"/>
          <w:numId w:val="1"/>
        </w:numPr>
        <w:spacing w:after="80"/>
      </w:pPr>
      <w:r>
        <w:rPr>
          <w:b w:val="false"/>
          <w:bCs w:val="false"/>
          <w:i w:val="false"/>
          <w:iCs w:val="false"/>
        </w:rPr>
        <w:t xml:space="preserve">Relativizador: P15 </w:t>
      </w:r>
      <w:r>
        <w:rPr>
          <w:b w:val="false"/>
          <w:bCs w:val="false"/>
          <w:i/>
          <w:iCs/>
        </w:rPr>
        <w:t xml:space="preserve">"por ahí ahora es una moda, después será un elemento más"</w:t>
      </w:r>
      <w:r>
        <w:rPr>
          <w:b w:val="false"/>
          <w:bCs w:val="false"/>
          <w:i w:val="false"/>
          <w:iCs w:val="false"/>
        </w:rPr>
        <w:t xml:space="preserve"> [18:29]</w:t>
      </w:r>
    </w:p>
    <w:p>
      <w:pPr>
        <w:spacing w:after="160"/>
      </w:pPr>
      <w:r>
        <w:rPr>
          <w:b/>
          <w:bCs/>
          <w:i w:val="false"/>
          <w:iCs w:val="false"/>
        </w:rPr>
        <w:t xml:space="preserve">Mejores citas — rol docente futuro:</w:t>
      </w:r>
    </w:p>
    <w:p>
      <w:pPr>
        <w:pStyle w:val="ListParagraph"/>
        <w:numPr>
          <w:ilvl w:val="0"/>
          <w:numId w:val="1"/>
        </w:numPr>
        <w:spacing w:after="80"/>
      </w:pPr>
      <w:r>
        <w:rPr>
          <w:b w:val="false"/>
          <w:bCs w:val="false"/>
          <w:i w:val="false"/>
          <w:iCs w:val="false"/>
        </w:rPr>
        <w:t xml:space="preserve">Rechazo del reemplazo: P8 </w:t>
      </w:r>
      <w:r>
        <w:rPr>
          <w:b w:val="false"/>
          <w:bCs w:val="false"/>
          <w:i/>
          <w:iCs/>
        </w:rPr>
        <w:t xml:space="preserve">"no pienso que nos va a reemplazar... tenemos sentimientos"</w:t>
      </w:r>
      <w:r>
        <w:rPr>
          <w:b w:val="false"/>
          <w:bCs w:val="false"/>
          <w:i w:val="false"/>
          <w:iCs w:val="false"/>
        </w:rPr>
        <w:t xml:space="preserve"> [18:09]; P5 </w:t>
      </w:r>
      <w:r>
        <w:rPr>
          <w:b w:val="false"/>
          <w:bCs w:val="false"/>
          <w:i/>
          <w:iCs/>
        </w:rPr>
        <w:t xml:space="preserve">"siempre va a estar el docente... siempre tenemos que intervenir"</w:t>
      </w:r>
      <w:r>
        <w:rPr>
          <w:b w:val="false"/>
          <w:bCs w:val="false"/>
          <w:i w:val="false"/>
          <w:iCs w:val="false"/>
        </w:rPr>
        <w:t xml:space="preserve"> [15:48]; P15 </w:t>
      </w:r>
      <w:r>
        <w:rPr>
          <w:b w:val="false"/>
          <w:bCs w:val="false"/>
          <w:i/>
          <w:iCs/>
        </w:rPr>
        <w:t xml:space="preserve">"el niño tiene otras características de socializar... está más centrada para los adultos"</w:t>
      </w:r>
      <w:r>
        <w:rPr>
          <w:b w:val="false"/>
          <w:bCs w:val="false"/>
          <w:i w:val="false"/>
          <w:iCs w:val="false"/>
        </w:rPr>
        <w:t xml:space="preserve"> [19:16]</w:t>
      </w:r>
    </w:p>
    <w:p>
      <w:pPr>
        <w:pStyle w:val="ListParagraph"/>
        <w:numPr>
          <w:ilvl w:val="0"/>
          <w:numId w:val="1"/>
        </w:numPr>
        <w:spacing w:after="80"/>
      </w:pPr>
      <w:r>
        <w:rPr>
          <w:b w:val="false"/>
          <w:bCs w:val="false"/>
          <w:i w:val="false"/>
          <w:iCs w:val="false"/>
        </w:rPr>
        <w:t xml:space="preserve">Reformulación del rol: P9 (sirve más para la tarea docente que para la enseñanza directa); P14 </w:t>
      </w:r>
      <w:r>
        <w:rPr>
          <w:b w:val="false"/>
          <w:bCs w:val="false"/>
          <w:i/>
          <w:iCs/>
        </w:rPr>
        <w:t xml:space="preserve">"un docente que sabe utilizarla... va a lograr resultados mucho más rápido"</w:t>
      </w:r>
    </w:p>
    <w:p>
      <w:pPr>
        <w:spacing w:after="160"/>
      </w:pPr>
      <w:r>
        <w:rPr>
          <w:b/>
          <w:bCs/>
          <w:i w:val="false"/>
          <w:iCs w:val="false"/>
        </w:rPr>
        <w:t xml:space="preserve">Guardarraíl a repetir en el Cap. 4 (Cap. 3, §3.5, punto 4):</w:t>
      </w:r>
      <w:r>
        <w:rPr>
          <w:b w:val="false"/>
          <w:bCs w:val="false"/>
          <w:i w:val="false"/>
          <w:iCs w:val="false"/>
        </w:rPr>
        <w:t xml:space="preserve"> cada afirmación sobre imaginarios se formula al nivel de "en el testimonio de esta docente, tal fragmento resuena con tal marcador" — nunca como caracterización autónoma del imaginario oficial derivada solo de las entrevistas.</w:t>
      </w:r>
    </w:p>
    <w:p>
      <w:pPr>
        <w:pBdr>
          <w:bottom w:val="single" w:color="auto" w:sz="6" w:space="1"/>
        </w:pBdr>
        <w:spacing w:after="200"/>
      </w:pPr>
    </w:p>
    <w:p>
      <w:pPr>
        <w:pStyle w:val="Heading2"/>
        <w:spacing w:after="120" w:before="240"/>
      </w:pPr>
      <w:r>
        <w:rPr>
          <w:b w:val="false"/>
          <w:bCs w:val="false"/>
          <w:i w:val="false"/>
          <w:iCs w:val="false"/>
        </w:rPr>
        <w:t xml:space="preserve">4.6 — Relación entre competencias digitales/conocimientos previos y las representaciones (OE1-OE2)</w:t>
      </w:r>
    </w:p>
    <w:p>
      <w:pPr>
        <w:spacing w:after="160"/>
      </w:pPr>
      <w:r>
        <w:rPr>
          <w:b/>
          <w:bCs/>
          <w:i w:val="false"/>
          <w:iCs w:val="false"/>
        </w:rPr>
        <w:t xml:space="preserve">Núcleo que alimenta:</w:t>
      </w:r>
      <w:r>
        <w:rPr>
          <w:b w:val="false"/>
          <w:bCs w:val="false"/>
          <w:i w:val="false"/>
          <w:iCs w:val="false"/>
        </w:rPr>
        <w:t xml:space="preserve"> Núcleo 3 (Alfabetización digital docente) + diálogo con Núcleo 1 (objetivación técnica en P13/P14).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2C5" w:val="clear"/>
          </w:tcPr>
          <w:p>
            <w:r>
              <w:rPr>
                <w:b w:val="false"/>
                <w:bCs w:val="false"/>
                <w:i w:val="false"/>
                <w:iCs w:val="false"/>
              </w:rPr>
              <w:t xml:space="preserve">Código</w:t>
            </w:r>
          </w:p>
        </w:tc>
        <w:tc>
          <w:tcPr>
            <w:tcW w:type="dxa" w:w="3000"/>
            <w:shd w:fill="D9D2C5" w:val="clear"/>
          </w:tcPr>
          <w:p>
            <w:r>
              <w:rPr>
                <w:b w:val="false"/>
                <w:bCs w:val="false"/>
                <w:i w:val="false"/>
                <w:iCs w:val="false"/>
              </w:rPr>
              <w:t xml:space="preserve">Frecuencia</w:t>
            </w:r>
          </w:p>
        </w:tc>
        <w:tc>
          <w:tcPr>
            <w:tcW w:type="dxa" w:w="3000"/>
            <w:shd w:fill="D9D2C5" w:val="clear"/>
          </w:tcPr>
          <w:p>
            <w:r>
              <w:rPr>
                <w:b w:val="false"/>
                <w:bCs w:val="false"/>
                <w:i w:val="false"/>
                <w:iCs w:val="false"/>
              </w:rPr>
              <w:t xml:space="preserve">Lectura</w:t>
            </w:r>
          </w:p>
        </w:tc>
      </w:tr>
      <w:tr>
        <w:tc>
          <w:tcPr>
            <w:tcW w:type="dxa" w:w="3000"/>
          </w:tcPr>
          <w:p>
            <w:r>
              <w:rPr>
                <w:rFonts w:ascii="Courier New" w:cs="Courier New" w:eastAsia="Courier New" w:hAnsi="Courier New"/>
                <w:b w:val="false"/>
                <w:bCs w:val="false"/>
                <w:i w:val="false"/>
                <w:iCs w:val="false"/>
              </w:rPr>
              <w:t xml:space="preserve">competencia_tecnica_declarada</w:t>
            </w:r>
          </w:p>
        </w:tc>
        <w:tc>
          <w:tcPr>
            <w:tcW w:type="dxa" w:w="3000"/>
          </w:tcPr>
          <w:p>
            <w:r>
              <w:rPr>
                <w:b w:val="false"/>
                <w:bCs w:val="false"/>
                <w:i w:val="false"/>
                <w:iCs w:val="false"/>
              </w:rPr>
              <w:t xml:space="preserve">Prácticamente universal (~15/15)</w:t>
            </w:r>
          </w:p>
        </w:tc>
        <w:tc>
          <w:tcPr>
            <w:tcW w:type="dxa" w:w="3000"/>
          </w:tcPr>
          <w:p>
            <w:r>
              <w:rPr>
                <w:b w:val="false"/>
                <w:bCs w:val="false"/>
                <w:i w:val="false"/>
                <w:iCs w:val="false"/>
              </w:rPr>
              <w:t xml:space="preserve">Todas narran su propio manejo técnico, con niveles muy distintos (de "nivel medio", P1, a alta especialización, P12/P13/P14)</w:t>
            </w:r>
          </w:p>
        </w:tc>
      </w:tr>
      <w:tr>
        <w:tc>
          <w:tcPr>
            <w:tcW w:type="dxa" w:w="3000"/>
          </w:tcPr>
          <w:p>
            <w:r>
              <w:rPr>
                <w:rFonts w:ascii="Courier New" w:cs="Courier New" w:eastAsia="Courier New" w:hAnsi="Courier New"/>
                <w:b w:val="false"/>
                <w:bCs w:val="false"/>
                <w:i w:val="false"/>
                <w:iCs w:val="false"/>
              </w:rPr>
              <w:t xml:space="preserve">competencia_critica_reflexiva</w:t>
            </w:r>
          </w:p>
        </w:tc>
        <w:tc>
          <w:tcPr>
            <w:tcW w:type="dxa" w:w="3000"/>
          </w:tcPr>
          <w:p>
            <w:r>
              <w:rPr>
                <w:b w:val="false"/>
                <w:bCs w:val="false"/>
                <w:i w:val="false"/>
                <w:iCs w:val="false"/>
              </w:rPr>
              <w:t xml:space="preserve">Mayoría amplia (~13-14/15)</w:t>
            </w:r>
          </w:p>
        </w:tc>
        <w:tc>
          <w:tcPr>
            <w:tcW w:type="dxa" w:w="3000"/>
          </w:tcPr>
          <w:p>
            <w:r>
              <w:rPr>
                <w:b w:val="false"/>
                <w:bCs w:val="false"/>
                <w:i w:val="false"/>
                <w:iCs w:val="false"/>
              </w:rPr>
              <w:t xml:space="preserve">Casi universal — el corpus muestra alta reflexividad crítica, no solo manejo técnico</w:t>
            </w:r>
          </w:p>
        </w:tc>
      </w:tr>
      <w:tr>
        <w:tc>
          <w:tcPr>
            <w:tcW w:type="dxa" w:w="3000"/>
          </w:tcPr>
          <w:p>
            <w:r>
              <w:rPr>
                <w:rFonts w:ascii="Courier New" w:cs="Courier New" w:eastAsia="Courier New" w:hAnsi="Courier New"/>
                <w:b w:val="false"/>
                <w:bCs w:val="false"/>
                <w:i w:val="false"/>
                <w:iCs w:val="false"/>
              </w:rPr>
              <w:t xml:space="preserve">relacion_no_lineal_competencia_representacion</w:t>
            </w:r>
          </w:p>
        </w:tc>
        <w:tc>
          <w:tcPr>
            <w:tcW w:type="dxa" w:w="3000"/>
          </w:tcPr>
          <w:p>
            <w:r>
              <w:rPr>
                <w:b/>
                <w:bCs/>
                <w:i w:val="false"/>
                <w:iCs w:val="false"/>
              </w:rPr>
              <w:t xml:space="preserve">Exclusiva de P2 — 1/15, confirmado con el corpus completo</w:t>
            </w:r>
          </w:p>
        </w:tc>
        <w:tc>
          <w:tcPr>
            <w:tcW w:type="dxa" w:w="3000"/>
          </w:tcPr>
          <w:p>
            <w:r>
              <w:rPr>
                <w:b w:val="false"/>
                <w:bCs w:val="false"/>
                <w:i w:val="false"/>
                <w:iCs w:val="false"/>
              </w:rPr>
              <w:t xml:space="preserve">Patrón genuinamente raro, no artefacto de muestra chica — dato central para esta subsección</w:t>
            </w:r>
          </w:p>
        </w:tc>
      </w:tr>
    </w:tbl>
    <w:p>
      <w:pPr>
        <w:spacing w:after="200"/>
      </w:pPr>
    </w:p>
    <w:p>
      <w:pPr>
        <w:spacing w:after="160"/>
      </w:pPr>
      <w:r>
        <w:rPr>
          <w:b/>
          <w:bCs/>
          <w:i w:val="false"/>
          <w:iCs w:val="false"/>
        </w:rPr>
        <w:t xml:space="preserve">El hallazgo central de esta subsección:</w:t>
      </w:r>
      <w:r>
        <w:rPr>
          <w:b w:val="false"/>
          <w:bCs w:val="false"/>
          <w:i w:val="false"/>
          <w:iCs w:val="false"/>
        </w:rPr>
        <w:t xml:space="preserve"> con el corpus completo, la regla de no asumir causalidad directa "a mayor competencia, representación más favorable" (Cap. 3, codebook) se sostiene empíricamente — </w:t>
      </w:r>
      <w:r>
        <w:rPr>
          <w:b/>
          <w:bCs/>
          <w:i w:val="false"/>
          <w:iCs w:val="false"/>
        </w:rPr>
        <w:t xml:space="preserve">la relación es mayormente consistente/lineal en el corpus</w:t>
      </w:r>
      <w:r>
        <w:rPr>
          <w:b w:val="false"/>
          <w:bCs w:val="false"/>
          <w:i w:val="false"/>
          <w:iCs w:val="false"/>
        </w:rPr>
        <w:t xml:space="preserve"> (alta competencia + actitud favorable-crítica va junta en la mayoría de los casos, ej. P13, P14), con </w:t>
      </w:r>
      <w:r>
        <w:rPr>
          <w:b/>
          <w:bCs/>
          <w:i w:val="false"/>
          <w:iCs w:val="false"/>
        </w:rPr>
        <w:t xml:space="preserve">una única excepción clara: P2</w:t>
      </w:r>
      <w:r>
        <w:rPr>
          <w:b w:val="false"/>
          <w:bCs w:val="false"/>
          <w:i w:val="false"/>
          <w:iCs w:val="false"/>
        </w:rPr>
        <w:t xml:space="preserve">, donde alta competencia técnica general coexiste con desconfianza/no-exploración puntual de la IAG. Esto es exactamente lo que la regla de codificación anticipaba como "especialmente valioso" — un caso negativo real, no ruido.</w:t>
      </w:r>
    </w:p>
    <w:p>
      <w:pPr>
        <w:spacing w:after="160"/>
      </w:pPr>
      <w:r>
        <w:rPr>
          <w:b/>
          <w:bCs/>
          <w:i w:val="false"/>
          <w:iCs w:val="false"/>
        </w:rPr>
        <w:t xml:space="preserve">Mejor cita para P2 (caso central de esta subsección):</w:t>
      </w:r>
      <w:r>
        <w:rPr>
          <w:b w:val="false"/>
          <w:bCs w:val="false"/>
          <w:i w:val="false"/>
          <w:iCs w:val="false"/>
        </w:rPr>
        <w:t xml:space="preserve"> </w:t>
      </w:r>
      <w:r>
        <w:rPr>
          <w:b w:val="false"/>
          <w:bCs w:val="false"/>
          <w:i/>
          <w:iCs/>
        </w:rPr>
        <w:t xml:space="preserve">"Todavía no la he ni la he explorado, sinceramente. Sería mentirte si te digo que hice algo"</w:t>
      </w:r>
      <w:r>
        <w:rPr>
          <w:b w:val="false"/>
          <w:bCs w:val="false"/>
          <w:i w:val="false"/>
          <w:iCs w:val="false"/>
        </w:rPr>
        <w:t xml:space="preserve"> [01:16] — contrastar con </w:t>
      </w:r>
      <w:r>
        <w:rPr>
          <w:b w:val="false"/>
          <w:bCs w:val="false"/>
          <w:i/>
          <w:iCs/>
        </w:rPr>
        <w:t xml:space="preserve">"A mí me encanta explorar, me encanta aprender"</w:t>
      </w:r>
      <w:r>
        <w:rPr>
          <w:b w:val="false"/>
          <w:bCs w:val="false"/>
          <w:i w:val="false"/>
          <w:iCs w:val="false"/>
        </w:rPr>
        <w:t xml:space="preserve"> [02:50], de la misma entrevista.</w:t>
      </w:r>
    </w:p>
    <w:p>
      <w:pPr>
        <w:spacing w:after="160"/>
      </w:pPr>
      <w:r>
        <w:rPr>
          <w:b/>
          <w:bCs/>
          <w:i w:val="false"/>
          <w:iCs w:val="false"/>
        </w:rPr>
        <w:t xml:space="preserve">Diálogo con §4.1:</w:t>
      </w:r>
      <w:r>
        <w:rPr>
          <w:b w:val="false"/>
          <w:bCs w:val="false"/>
          <w:i w:val="false"/>
          <w:iCs w:val="false"/>
        </w:rPr>
        <w:t xml:space="preserve"> las dos participantes que responden la ancla privilegiada con definición técnica en vez de metáfora (P13, P14) son también las de mayor especialización formal (Lic. en Enseñanza con Tecnologías Digitales, ambas) — sugiere una relación entre formación específica y </w:t>
      </w:r>
      <w:r>
        <w:rPr>
          <w:b/>
          <w:bCs/>
          <w:i w:val="false"/>
          <w:iCs w:val="false"/>
        </w:rPr>
        <w:t xml:space="preserve">registro</w:t>
      </w:r>
      <w:r>
        <w:rPr>
          <w:b w:val="false"/>
          <w:bCs w:val="false"/>
          <w:i w:val="false"/>
          <w:iCs w:val="false"/>
        </w:rPr>
        <w:t xml:space="preserve"> de la representación (técnico vs. metafórico), distinta de la relación entre competencia y </w:t>
      </w:r>
      <w:r>
        <w:rPr>
          <w:b/>
          <w:bCs/>
          <w:i w:val="false"/>
          <w:iCs w:val="false"/>
        </w:rPr>
        <w:t xml:space="preserve">valoración</w:t>
      </w:r>
      <w:r>
        <w:rPr>
          <w:b w:val="false"/>
          <w:bCs w:val="false"/>
          <w:i w:val="false"/>
          <w:iCs w:val="false"/>
        </w:rPr>
        <w:t xml:space="preserve"> (favorable/desfavorable) que es el objeto de </w:t>
      </w:r>
      <w:r>
        <w:rPr>
          <w:rFonts w:ascii="Courier New" w:cs="Courier New" w:eastAsia="Courier New" w:hAnsi="Courier New"/>
          <w:b w:val="false"/>
          <w:bCs w:val="false"/>
          <w:i w:val="false"/>
          <w:iCs w:val="false"/>
        </w:rPr>
        <w:t xml:space="preserve">relacion_no_lineal_competencia_representacion</w:t>
      </w:r>
      <w:r>
        <w:rPr>
          <w:b w:val="false"/>
          <w:bCs w:val="false"/>
          <w:i w:val="false"/>
          <w:iCs w:val="false"/>
        </w:rPr>
        <w:t xml:space="preserve">. Vale la pena nombrar esta distinción explícitamente en el Cap. 4 — son dos preguntas relacionadas pero no idénticas.</w:t>
      </w:r>
    </w:p>
    <w:p>
      <w:pPr>
        <w:pBdr>
          <w:bottom w:val="single" w:color="auto" w:sz="6" w:space="1"/>
        </w:pBdr>
        <w:spacing w:after="200"/>
      </w:pPr>
    </w:p>
    <w:p>
      <w:pPr>
        <w:pStyle w:val="Heading2"/>
        <w:spacing w:after="120" w:before="240"/>
      </w:pPr>
      <w:r>
        <w:rPr>
          <w:b w:val="false"/>
          <w:bCs w:val="false"/>
          <w:i w:val="false"/>
          <w:iCs w:val="false"/>
        </w:rPr>
        <w:t xml:space="preserve">Pendiente antes de redactar el Capítulo 4</w:t>
      </w:r>
    </w:p>
    <w:p>
      <w:pPr>
        <w:spacing w:after="80"/>
        <w:ind w:left="360"/>
      </w:pPr>
      <w:r>
        <w:t xml:space="preserve">1. </w:t>
      </w:r>
      <w:r>
        <w:rPr>
          <w:b w:val="false"/>
          <w:bCs w:val="false"/>
          <w:i w:val="false"/>
          <w:iCs w:val="false"/>
        </w:rPr>
        <w:t xml:space="preserve">Confirmar con la investigadora si P1 entra o no en el conteo de </w:t>
      </w:r>
      <w:r>
        <w:rPr>
          <w:rFonts w:ascii="Courier New" w:cs="Courier New" w:eastAsia="Courier New" w:hAnsi="Courier New"/>
          <w:b w:val="false"/>
          <w:bCs w:val="false"/>
          <w:i w:val="false"/>
          <w:iCs w:val="false"/>
        </w:rPr>
        <w:t xml:space="preserve">eco_discurso_institucional</w:t>
      </w:r>
      <w:r>
        <w:rPr>
          <w:b w:val="false"/>
          <w:bCs w:val="false"/>
          <w:i w:val="false"/>
          <w:iCs w:val="false"/>
        </w:rPr>
        <w:t xml:space="preserve"> (§4.2, §4.5) — decisión pendiente de </w:t>
      </w:r>
      <w:r>
        <w:rPr>
          <w:rFonts w:ascii="Courier New" w:cs="Courier New" w:eastAsia="Courier New" w:hAnsi="Courier New"/>
          <w:b w:val="false"/>
          <w:bCs w:val="false"/>
          <w:i w:val="false"/>
          <w:iCs w:val="false"/>
        </w:rPr>
        <w:t xml:space="preserve">codificacion_P1_P14_cierre_corpus.md</w:t>
      </w:r>
      <w:r>
        <w:rPr>
          <w:b w:val="false"/>
          <w:bCs w:val="false"/>
          <w:i w:val="false"/>
          <w:iCs w:val="false"/>
        </w:rPr>
        <w:t xml:space="preserve"> pregunta 4.</w:t>
      </w:r>
    </w:p>
    <w:p>
      <w:pPr>
        <w:spacing w:after="80"/>
        <w:ind w:left="360"/>
      </w:pPr>
      <w:r>
        <w:t xml:space="preserve">2. </w:t>
      </w:r>
      <w:r>
        <w:rPr>
          <w:b w:val="false"/>
          <w:bCs w:val="false"/>
          <w:i w:val="false"/>
          <w:iCs w:val="false"/>
        </w:rPr>
        <w:t xml:space="preserve">Decidir si </w:t>
      </w:r>
      <w:r>
        <w:rPr>
          <w:rFonts w:ascii="Courier New" w:cs="Courier New" w:eastAsia="Courier New" w:hAnsi="Courier New"/>
          <w:b w:val="false"/>
          <w:bCs w:val="false"/>
          <w:i w:val="false"/>
          <w:iCs w:val="false"/>
        </w:rPr>
        <w:t xml:space="preserve">eco_de_par_colega</w:t>
      </w:r>
      <w:r>
        <w:rPr>
          <w:b w:val="false"/>
          <w:bCs w:val="false"/>
          <w:i w:val="false"/>
          <w:iCs w:val="false"/>
        </w:rPr>
        <w:t xml:space="preserve"> se promueve formalmente al codebook antes de citarlo con ese nombre en el capítulo (pregunta 3 del mismo documento).</w:t>
      </w:r>
    </w:p>
    <w:p>
      <w:pPr>
        <w:spacing w:after="80"/>
        <w:ind w:left="360"/>
      </w:pPr>
      <w:r>
        <w:t xml:space="preserve">3. </w:t>
      </w:r>
      <w:r>
        <w:rPr>
          <w:b w:val="false"/>
          <w:bCs w:val="false"/>
          <w:i w:val="false"/>
          <w:iCs w:val="false"/>
        </w:rPr>
        <w:t xml:space="preserve">Revisar si conviene una tabla-resumen única de frecuencias (los 20 códigos deductivos × 15 participantes) como figura del Cap. 4, o si alcanza con las tablas por subsección de este documento.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2026-08-23T22:05:39.028Z</dcterms:created>
  <dcterms:modified xsi:type="dcterms:W3CDTF">2026-08-23T22:05:39.029Z</dcterms:modified>
</cp:coreProperties>
</file>

<file path=docProps/custom.xml><?xml version="1.0" encoding="utf-8"?>
<Properties xmlns="http://schemas.openxmlformats.org/officeDocument/2006/custom-properties" xmlns:vt="http://schemas.openxmlformats.org/officeDocument/2006/docPropsVTypes"/>
</file>