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FISCAAL EN JURIDISCH OVERZICHT — MARILYN EN CO GROEP</w:t>
      </w:r>
    </w:p>
    <w:p>
      <w:r>
        <w:t>Rechtsvorm: alle drie werkmaatschappijen zijn besloten vennootschappen (B.V.), volledig eigendom van M. Bisschops Holding B.V. Aandeelhoudersstructuur: 100% via de holding, geen minderheidsaandeelhouders, geen STAK.</w:t>
      </w:r>
    </w:p>
    <w:p>
      <w:r>
        <w:t>Er loopt momenteel geen open discussie met de Belastingdienst over vennootschapsbelasting (VPB); de laatste aanslagen (t/m 2024) zijn definitief en zonder correcties opgelegd.</w:t>
      </w:r>
    </w:p>
    <w:p>
      <w:r>
        <w:t>Huurcontract bedrijfspand (hoofdvestiging): resterende looptijd 3 jaar en 4 maanden, met een optie tot verlenging van 5 jaar.</w:t>
      </w:r>
    </w:p>
    <w:p>
      <w:r>
        <w:t>Er zijn geen noemenswaardige leaseverplichtingen buiten de gebruikelijke operationele leasecontracten voor bedrijfsauto's (totaal 4 auto's in lease, resterende looptijd 1 tot 3 jaar).</w:t>
      </w:r>
    </w:p>
    <w:p>
      <w:r>
        <w:t>Er zijn geen bekende fiscale risico's, geschillen of juridische claims die de voorgenomen transactie zouden kunnen beïnvloeden.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